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AEB6" w14:textId="04D6084D" w:rsidR="00F22E0B" w:rsidRPr="00F22E0B" w:rsidRDefault="00E61FEA" w:rsidP="00AC6B5B">
      <w:pPr>
        <w:spacing w:before="120" w:after="120" w:line="240" w:lineRule="auto"/>
        <w:rPr>
          <w:b/>
          <w:color w:val="621B40"/>
          <w:sz w:val="24"/>
          <w:szCs w:val="24"/>
        </w:rPr>
      </w:pPr>
      <w:r w:rsidRPr="00E573A9">
        <w:rPr>
          <w:b/>
          <w:color w:val="621B40"/>
          <w:sz w:val="24"/>
          <w:szCs w:val="24"/>
        </w:rPr>
        <w:t>INTRODUCTION</w:t>
      </w:r>
    </w:p>
    <w:p w14:paraId="6F8A1DE8" w14:textId="2E296376" w:rsidR="00F22E0B" w:rsidRPr="00F22E0B" w:rsidRDefault="00294C17" w:rsidP="00AC6B5B">
      <w:pPr>
        <w:pStyle w:val="ListParagraph"/>
        <w:numPr>
          <w:ilvl w:val="0"/>
          <w:numId w:val="7"/>
        </w:numPr>
        <w:spacing w:after="120" w:line="240" w:lineRule="auto"/>
        <w:jc w:val="both"/>
        <w:rPr>
          <w:rFonts w:cstheme="minorHAnsi"/>
          <w:b/>
          <w:bCs/>
          <w:sz w:val="24"/>
          <w:szCs w:val="24"/>
        </w:rPr>
      </w:pPr>
      <w:r>
        <w:rPr>
          <w:rFonts w:cstheme="minorHAnsi"/>
          <w:b/>
          <w:bCs/>
          <w:sz w:val="24"/>
          <w:szCs w:val="24"/>
        </w:rPr>
        <w:t xml:space="preserve"> Purpose of the Remuneration Committee</w:t>
      </w:r>
    </w:p>
    <w:p w14:paraId="1DA0544B" w14:textId="706D84B5" w:rsidR="00F22E0B" w:rsidRPr="00EB42EB" w:rsidRDefault="00F22E0B" w:rsidP="00AC6B5B">
      <w:pPr>
        <w:widowControl w:val="0"/>
        <w:spacing w:before="120" w:after="120" w:line="240" w:lineRule="auto"/>
        <w:rPr>
          <w:sz w:val="24"/>
          <w:szCs w:val="24"/>
        </w:rPr>
      </w:pPr>
      <w:r w:rsidRPr="00F22E0B">
        <w:rPr>
          <w:sz w:val="24"/>
          <w:szCs w:val="24"/>
        </w:rPr>
        <w:t xml:space="preserve">The Remuneration Committee is responsible for providing assurance to the Board of Governors </w:t>
      </w:r>
      <w:r w:rsidR="00454B96">
        <w:rPr>
          <w:sz w:val="24"/>
          <w:szCs w:val="24"/>
        </w:rPr>
        <w:t xml:space="preserve">(the Board) </w:t>
      </w:r>
      <w:r w:rsidRPr="00F22E0B">
        <w:rPr>
          <w:sz w:val="24"/>
          <w:szCs w:val="24"/>
        </w:rPr>
        <w:t xml:space="preserve">that decisions on senior staff remuneration and severance arrangements are made in accordance with the values that underpin the </w:t>
      </w:r>
      <w:r w:rsidR="00872743">
        <w:rPr>
          <w:sz w:val="24"/>
          <w:szCs w:val="24"/>
        </w:rPr>
        <w:t>Committee of University Chairs (</w:t>
      </w:r>
      <w:r w:rsidR="00872743" w:rsidRPr="00F22E0B">
        <w:rPr>
          <w:sz w:val="24"/>
          <w:szCs w:val="24"/>
        </w:rPr>
        <w:t>CU</w:t>
      </w:r>
      <w:r w:rsidR="00872743">
        <w:rPr>
          <w:sz w:val="24"/>
          <w:szCs w:val="24"/>
        </w:rPr>
        <w:t>C)</w:t>
      </w:r>
      <w:r w:rsidR="00872743" w:rsidRPr="00F22E0B">
        <w:rPr>
          <w:sz w:val="24"/>
          <w:szCs w:val="24"/>
        </w:rPr>
        <w:t xml:space="preserve"> </w:t>
      </w:r>
      <w:r w:rsidRPr="00F22E0B">
        <w:rPr>
          <w:sz w:val="24"/>
          <w:szCs w:val="24"/>
        </w:rPr>
        <w:t>H</w:t>
      </w:r>
      <w:r w:rsidR="007D2F05">
        <w:rPr>
          <w:sz w:val="24"/>
          <w:szCs w:val="24"/>
        </w:rPr>
        <w:t xml:space="preserve">igher </w:t>
      </w:r>
      <w:r w:rsidRPr="00F22E0B">
        <w:rPr>
          <w:sz w:val="24"/>
          <w:szCs w:val="24"/>
        </w:rPr>
        <w:t>E</w:t>
      </w:r>
      <w:r w:rsidR="007D2F05">
        <w:rPr>
          <w:sz w:val="24"/>
          <w:szCs w:val="24"/>
        </w:rPr>
        <w:t>ducation</w:t>
      </w:r>
      <w:r w:rsidRPr="00F22E0B">
        <w:rPr>
          <w:sz w:val="24"/>
          <w:szCs w:val="24"/>
        </w:rPr>
        <w:t xml:space="preserve"> Code of Governance, the CUC H</w:t>
      </w:r>
      <w:r w:rsidR="007D2F05">
        <w:rPr>
          <w:sz w:val="24"/>
          <w:szCs w:val="24"/>
        </w:rPr>
        <w:t xml:space="preserve">igher </w:t>
      </w:r>
      <w:r w:rsidRPr="00F22E0B">
        <w:rPr>
          <w:sz w:val="24"/>
          <w:szCs w:val="24"/>
        </w:rPr>
        <w:t>E</w:t>
      </w:r>
      <w:r w:rsidR="007D2F05">
        <w:rPr>
          <w:sz w:val="24"/>
          <w:szCs w:val="24"/>
        </w:rPr>
        <w:t>ducation</w:t>
      </w:r>
      <w:r w:rsidRPr="00F22E0B">
        <w:rPr>
          <w:sz w:val="24"/>
          <w:szCs w:val="24"/>
        </w:rPr>
        <w:t xml:space="preserve"> Senior Staff Remuneration Code</w:t>
      </w:r>
      <w:r w:rsidR="00294C17">
        <w:rPr>
          <w:sz w:val="24"/>
          <w:szCs w:val="24"/>
        </w:rPr>
        <w:t xml:space="preserve"> (the Code)</w:t>
      </w:r>
      <w:r w:rsidRPr="00F22E0B">
        <w:rPr>
          <w:sz w:val="24"/>
          <w:szCs w:val="24"/>
        </w:rPr>
        <w:t xml:space="preserve"> and the principles of public life.</w:t>
      </w:r>
    </w:p>
    <w:p w14:paraId="2ACE75D9" w14:textId="6721860F" w:rsidR="00F22E0B" w:rsidRPr="00F22E0B" w:rsidRDefault="00F22E0B" w:rsidP="00AC6B5B">
      <w:pPr>
        <w:widowControl w:val="0"/>
        <w:spacing w:before="60" w:afterLines="60" w:after="144" w:line="240" w:lineRule="auto"/>
        <w:rPr>
          <w:rFonts w:cstheme="minorHAnsi"/>
          <w:sz w:val="24"/>
          <w:szCs w:val="24"/>
        </w:rPr>
      </w:pPr>
      <w:r w:rsidRPr="00F22E0B">
        <w:rPr>
          <w:rFonts w:cstheme="minorHAnsi"/>
          <w:sz w:val="24"/>
          <w:szCs w:val="24"/>
        </w:rPr>
        <w:t xml:space="preserve">The Committee’s </w:t>
      </w:r>
      <w:hyperlink r:id="rId11" w:history="1">
        <w:r w:rsidRPr="00437C8E">
          <w:rPr>
            <w:rStyle w:val="Hyperlink"/>
            <w:rFonts w:cstheme="minorHAnsi"/>
            <w:sz w:val="24"/>
            <w:szCs w:val="24"/>
          </w:rPr>
          <w:t>Terms of Reference</w:t>
        </w:r>
      </w:hyperlink>
      <w:r w:rsidRPr="00F22E0B">
        <w:rPr>
          <w:rFonts w:cstheme="minorHAnsi"/>
          <w:sz w:val="24"/>
          <w:szCs w:val="24"/>
        </w:rPr>
        <w:t xml:space="preserve"> are available on the University website.</w:t>
      </w:r>
    </w:p>
    <w:p w14:paraId="51D35BAA" w14:textId="2E7F0129" w:rsidR="00294C17" w:rsidRDefault="00294C17" w:rsidP="00AC6B5B">
      <w:pPr>
        <w:pStyle w:val="ListParagraph"/>
        <w:numPr>
          <w:ilvl w:val="0"/>
          <w:numId w:val="7"/>
        </w:numPr>
        <w:spacing w:before="120" w:after="120" w:line="240" w:lineRule="auto"/>
        <w:ind w:left="357" w:hanging="357"/>
        <w:rPr>
          <w:rFonts w:cstheme="minorHAnsi"/>
          <w:b/>
          <w:bCs/>
          <w:sz w:val="24"/>
          <w:szCs w:val="24"/>
        </w:rPr>
      </w:pPr>
      <w:r>
        <w:rPr>
          <w:rFonts w:cstheme="minorHAnsi"/>
          <w:b/>
          <w:bCs/>
          <w:sz w:val="24"/>
          <w:szCs w:val="24"/>
        </w:rPr>
        <w:t xml:space="preserve">Scope </w:t>
      </w:r>
    </w:p>
    <w:p w14:paraId="37C27550" w14:textId="6BE3B5B7" w:rsidR="005702E7" w:rsidRPr="00EB42EB" w:rsidRDefault="00294C17" w:rsidP="00AC6B5B">
      <w:pPr>
        <w:spacing w:before="120" w:after="120" w:line="240" w:lineRule="auto"/>
        <w:rPr>
          <w:rFonts w:cstheme="minorHAnsi"/>
          <w:sz w:val="24"/>
          <w:szCs w:val="24"/>
        </w:rPr>
      </w:pPr>
      <w:r w:rsidRPr="00EB42EB">
        <w:rPr>
          <w:rFonts w:cstheme="minorHAnsi"/>
          <w:sz w:val="24"/>
          <w:szCs w:val="24"/>
        </w:rPr>
        <w:t>The</w:t>
      </w:r>
      <w:r w:rsidR="005702E7" w:rsidRPr="00EB42EB">
        <w:rPr>
          <w:rFonts w:cstheme="minorHAnsi"/>
          <w:sz w:val="24"/>
          <w:szCs w:val="24"/>
        </w:rPr>
        <w:t xml:space="preserve"> Remuneration </w:t>
      </w:r>
      <w:r w:rsidRPr="00EB42EB">
        <w:rPr>
          <w:rFonts w:cstheme="minorHAnsi"/>
          <w:sz w:val="24"/>
          <w:szCs w:val="24"/>
        </w:rPr>
        <w:t xml:space="preserve">Committee is responsible for determining the </w:t>
      </w:r>
      <w:r w:rsidR="005702E7" w:rsidRPr="00EB42EB">
        <w:rPr>
          <w:rFonts w:cstheme="minorHAnsi"/>
          <w:sz w:val="24"/>
          <w:szCs w:val="24"/>
        </w:rPr>
        <w:t>pay and conditions</w:t>
      </w:r>
      <w:r w:rsidRPr="00EB42EB">
        <w:rPr>
          <w:rFonts w:cstheme="minorHAnsi"/>
          <w:sz w:val="24"/>
          <w:szCs w:val="24"/>
        </w:rPr>
        <w:t xml:space="preserve"> for the following postholders:</w:t>
      </w:r>
    </w:p>
    <w:p w14:paraId="3A1B5594" w14:textId="77777777" w:rsidR="005702E7" w:rsidRPr="005F5964" w:rsidRDefault="005702E7" w:rsidP="00AC6B5B">
      <w:pPr>
        <w:pStyle w:val="ListParagraph"/>
        <w:numPr>
          <w:ilvl w:val="0"/>
          <w:numId w:val="13"/>
        </w:numPr>
        <w:spacing w:after="0" w:line="240" w:lineRule="auto"/>
        <w:ind w:left="357" w:hanging="357"/>
        <w:jc w:val="both"/>
        <w:rPr>
          <w:rFonts w:cstheme="minorHAnsi"/>
          <w:sz w:val="24"/>
          <w:szCs w:val="24"/>
        </w:rPr>
      </w:pPr>
      <w:r w:rsidRPr="005F5964">
        <w:rPr>
          <w:rFonts w:cstheme="minorHAnsi"/>
          <w:sz w:val="24"/>
          <w:szCs w:val="24"/>
        </w:rPr>
        <w:t>Vice-Chancellor</w:t>
      </w:r>
    </w:p>
    <w:p w14:paraId="45AEEE99" w14:textId="3065D04E" w:rsidR="005702E7" w:rsidRDefault="005702E7" w:rsidP="00AC6B5B">
      <w:pPr>
        <w:pStyle w:val="ListParagraph"/>
        <w:numPr>
          <w:ilvl w:val="0"/>
          <w:numId w:val="13"/>
        </w:numPr>
        <w:spacing w:after="0" w:line="240" w:lineRule="auto"/>
        <w:ind w:left="357" w:hanging="357"/>
        <w:jc w:val="both"/>
        <w:rPr>
          <w:rFonts w:cstheme="minorHAnsi"/>
          <w:sz w:val="24"/>
          <w:szCs w:val="24"/>
        </w:rPr>
      </w:pPr>
      <w:r w:rsidRPr="005F5964">
        <w:rPr>
          <w:rFonts w:cstheme="minorHAnsi"/>
          <w:sz w:val="24"/>
          <w:szCs w:val="24"/>
        </w:rPr>
        <w:t>Deputy Vice-Chancellor</w:t>
      </w:r>
      <w:r w:rsidR="62452A81" w:rsidRPr="77AAF2FC">
        <w:rPr>
          <w:sz w:val="24"/>
          <w:szCs w:val="24"/>
        </w:rPr>
        <w:t>(s)</w:t>
      </w:r>
    </w:p>
    <w:p w14:paraId="07EBFA73" w14:textId="5A28DA86" w:rsidR="0019584C" w:rsidRPr="005F5964" w:rsidRDefault="0019584C" w:rsidP="00AC6B5B">
      <w:pPr>
        <w:pStyle w:val="ListParagraph"/>
        <w:numPr>
          <w:ilvl w:val="0"/>
          <w:numId w:val="13"/>
        </w:numPr>
        <w:spacing w:after="0" w:line="240" w:lineRule="auto"/>
        <w:ind w:left="357" w:hanging="357"/>
        <w:jc w:val="both"/>
        <w:rPr>
          <w:rFonts w:cstheme="minorHAnsi"/>
          <w:sz w:val="24"/>
          <w:szCs w:val="24"/>
        </w:rPr>
      </w:pPr>
      <w:r>
        <w:rPr>
          <w:rFonts w:cstheme="minorHAnsi"/>
          <w:sz w:val="24"/>
          <w:szCs w:val="24"/>
        </w:rPr>
        <w:t xml:space="preserve">Chief Operating Officer </w:t>
      </w:r>
    </w:p>
    <w:p w14:paraId="630449A2" w14:textId="77777777" w:rsidR="005702E7" w:rsidRPr="005F5964" w:rsidRDefault="005702E7" w:rsidP="00AC6B5B">
      <w:pPr>
        <w:pStyle w:val="ListParagraph"/>
        <w:numPr>
          <w:ilvl w:val="0"/>
          <w:numId w:val="13"/>
        </w:numPr>
        <w:spacing w:after="0" w:line="240" w:lineRule="auto"/>
        <w:ind w:left="357" w:hanging="357"/>
        <w:jc w:val="both"/>
        <w:rPr>
          <w:rFonts w:cstheme="minorHAnsi"/>
          <w:sz w:val="24"/>
          <w:szCs w:val="24"/>
        </w:rPr>
      </w:pPr>
      <w:r w:rsidRPr="005F5964">
        <w:rPr>
          <w:rFonts w:cstheme="minorHAnsi"/>
          <w:sz w:val="24"/>
          <w:szCs w:val="24"/>
        </w:rPr>
        <w:t xml:space="preserve">Chief Finance Officer </w:t>
      </w:r>
    </w:p>
    <w:p w14:paraId="3689B4D4" w14:textId="77777777" w:rsidR="005702E7" w:rsidRDefault="005702E7" w:rsidP="00AC6B5B">
      <w:pPr>
        <w:pStyle w:val="ListParagraph"/>
        <w:numPr>
          <w:ilvl w:val="0"/>
          <w:numId w:val="13"/>
        </w:numPr>
        <w:spacing w:line="240" w:lineRule="auto"/>
        <w:ind w:left="357" w:hanging="357"/>
        <w:contextualSpacing w:val="0"/>
        <w:jc w:val="both"/>
        <w:rPr>
          <w:rFonts w:cstheme="minorHAnsi"/>
          <w:sz w:val="24"/>
          <w:szCs w:val="24"/>
        </w:rPr>
      </w:pPr>
      <w:r w:rsidRPr="005F5964">
        <w:rPr>
          <w:rFonts w:cstheme="minorHAnsi"/>
          <w:sz w:val="24"/>
          <w:szCs w:val="24"/>
        </w:rPr>
        <w:t>University Secretary</w:t>
      </w:r>
    </w:p>
    <w:p w14:paraId="0741FB7E" w14:textId="0E45C06E" w:rsidR="00F22E0B" w:rsidRPr="00F22E0B" w:rsidRDefault="00F22E0B" w:rsidP="00AC6B5B">
      <w:pPr>
        <w:pStyle w:val="ListParagraph"/>
        <w:numPr>
          <w:ilvl w:val="0"/>
          <w:numId w:val="7"/>
        </w:numPr>
        <w:spacing w:before="120" w:after="120" w:line="240" w:lineRule="auto"/>
        <w:rPr>
          <w:rFonts w:cstheme="minorHAnsi"/>
          <w:b/>
          <w:bCs/>
          <w:sz w:val="24"/>
          <w:szCs w:val="24"/>
        </w:rPr>
      </w:pPr>
      <w:r w:rsidRPr="00F22E0B">
        <w:rPr>
          <w:rFonts w:cstheme="minorHAnsi"/>
          <w:b/>
          <w:bCs/>
          <w:sz w:val="24"/>
          <w:szCs w:val="24"/>
        </w:rPr>
        <w:t>Membership of the Remuneration Committee</w:t>
      </w:r>
    </w:p>
    <w:p w14:paraId="0959BE42" w14:textId="360220D7" w:rsidR="00F22E0B" w:rsidRPr="00F22E0B" w:rsidRDefault="00F22E0B" w:rsidP="00AC6B5B">
      <w:pPr>
        <w:spacing w:before="60" w:after="60" w:line="240" w:lineRule="auto"/>
        <w:rPr>
          <w:rFonts w:cstheme="minorHAnsi"/>
          <w:sz w:val="24"/>
          <w:szCs w:val="24"/>
        </w:rPr>
      </w:pPr>
      <w:r w:rsidRPr="00F22E0B">
        <w:rPr>
          <w:rFonts w:cstheme="minorHAnsi"/>
          <w:sz w:val="24"/>
          <w:szCs w:val="24"/>
        </w:rPr>
        <w:t xml:space="preserve">In line with the Code’s principle that the Committee must be independent and not chaired by the Chair of the Board, membership of the Committee over the year </w:t>
      </w:r>
      <w:r w:rsidR="00872743">
        <w:rPr>
          <w:rFonts w:cstheme="minorHAnsi"/>
          <w:sz w:val="24"/>
          <w:szCs w:val="24"/>
        </w:rPr>
        <w:t>202</w:t>
      </w:r>
      <w:r w:rsidR="0019584C">
        <w:rPr>
          <w:rFonts w:cstheme="minorHAnsi"/>
          <w:sz w:val="24"/>
          <w:szCs w:val="24"/>
        </w:rPr>
        <w:t>4</w:t>
      </w:r>
      <w:r w:rsidR="00872743">
        <w:rPr>
          <w:rFonts w:cstheme="minorHAnsi"/>
          <w:sz w:val="24"/>
          <w:szCs w:val="24"/>
        </w:rPr>
        <w:t>/2</w:t>
      </w:r>
      <w:r w:rsidR="0019584C">
        <w:rPr>
          <w:rFonts w:cstheme="minorHAnsi"/>
          <w:sz w:val="24"/>
          <w:szCs w:val="24"/>
        </w:rPr>
        <w:t>5</w:t>
      </w:r>
      <w:r w:rsidR="00872743">
        <w:rPr>
          <w:rFonts w:cstheme="minorHAnsi"/>
          <w:sz w:val="24"/>
          <w:szCs w:val="24"/>
        </w:rPr>
        <w:t xml:space="preserve"> </w:t>
      </w:r>
      <w:r w:rsidRPr="00F22E0B">
        <w:rPr>
          <w:rFonts w:cstheme="minorHAnsi"/>
          <w:sz w:val="24"/>
          <w:szCs w:val="24"/>
        </w:rPr>
        <w:t>was as follows</w:t>
      </w:r>
      <w:r w:rsidR="00EB42EB">
        <w:rPr>
          <w:rFonts w:cstheme="minorHAnsi"/>
          <w:sz w:val="24"/>
          <w:szCs w:val="24"/>
        </w:rPr>
        <w:t>:</w:t>
      </w:r>
      <w:r w:rsidRPr="00F22E0B">
        <w:rPr>
          <w:rFonts w:cstheme="minorHAnsi"/>
          <w:sz w:val="24"/>
          <w:szCs w:val="24"/>
        </w:rPr>
        <w:t xml:space="preserve"> </w:t>
      </w:r>
    </w:p>
    <w:p w14:paraId="52E4A744" w14:textId="2CD5D284" w:rsidR="00F22E0B" w:rsidRPr="00F22E0B" w:rsidRDefault="0043094B" w:rsidP="00AC6B5B">
      <w:pPr>
        <w:pStyle w:val="ListParagraph"/>
        <w:numPr>
          <w:ilvl w:val="0"/>
          <w:numId w:val="6"/>
        </w:numPr>
        <w:spacing w:before="60" w:after="60" w:line="240" w:lineRule="auto"/>
        <w:rPr>
          <w:rFonts w:cstheme="minorHAnsi"/>
          <w:sz w:val="24"/>
          <w:szCs w:val="24"/>
        </w:rPr>
      </w:pPr>
      <w:r>
        <w:rPr>
          <w:rFonts w:cstheme="minorHAnsi"/>
          <w:sz w:val="24"/>
          <w:szCs w:val="24"/>
        </w:rPr>
        <w:t xml:space="preserve">Penny Thompson, </w:t>
      </w:r>
      <w:r w:rsidR="00F22E0B" w:rsidRPr="00F22E0B">
        <w:rPr>
          <w:rFonts w:cstheme="minorHAnsi"/>
          <w:sz w:val="24"/>
          <w:szCs w:val="24"/>
        </w:rPr>
        <w:t>Independent Board Member (Chair of the Committee from 1 February 2021)</w:t>
      </w:r>
      <w:r w:rsidR="00872743">
        <w:rPr>
          <w:rFonts w:cstheme="minorHAnsi"/>
          <w:sz w:val="24"/>
          <w:szCs w:val="24"/>
        </w:rPr>
        <w:t>;</w:t>
      </w:r>
    </w:p>
    <w:p w14:paraId="5F2700A1" w14:textId="2AF4A136" w:rsidR="00F22E0B" w:rsidRPr="00F22E0B" w:rsidRDefault="0043094B" w:rsidP="00AC6B5B">
      <w:pPr>
        <w:pStyle w:val="ListParagraph"/>
        <w:numPr>
          <w:ilvl w:val="0"/>
          <w:numId w:val="6"/>
        </w:numPr>
        <w:spacing w:before="60" w:after="60" w:line="240" w:lineRule="auto"/>
        <w:rPr>
          <w:rFonts w:cstheme="minorHAnsi"/>
          <w:sz w:val="24"/>
          <w:szCs w:val="24"/>
        </w:rPr>
      </w:pPr>
      <w:r>
        <w:rPr>
          <w:rFonts w:cstheme="minorHAnsi"/>
          <w:sz w:val="24"/>
          <w:szCs w:val="24"/>
        </w:rPr>
        <w:t xml:space="preserve">Jo Allen, </w:t>
      </w:r>
      <w:r w:rsidR="00F22E0B" w:rsidRPr="00F22E0B">
        <w:rPr>
          <w:rFonts w:cstheme="minorHAnsi"/>
          <w:sz w:val="24"/>
          <w:szCs w:val="24"/>
        </w:rPr>
        <w:t>Chair of the Audit and Risk Committee</w:t>
      </w:r>
      <w:r w:rsidR="00872743">
        <w:rPr>
          <w:rFonts w:cstheme="minorHAnsi"/>
          <w:sz w:val="24"/>
          <w:szCs w:val="24"/>
        </w:rPr>
        <w:t>;</w:t>
      </w:r>
    </w:p>
    <w:p w14:paraId="37BDAE54" w14:textId="5633C96C" w:rsidR="00EB42EB" w:rsidRDefault="0043094B" w:rsidP="00AC6B5B">
      <w:pPr>
        <w:pStyle w:val="ListParagraph"/>
        <w:numPr>
          <w:ilvl w:val="0"/>
          <w:numId w:val="6"/>
        </w:numPr>
        <w:spacing w:before="60" w:after="60" w:line="240" w:lineRule="auto"/>
        <w:rPr>
          <w:rFonts w:cstheme="minorHAnsi"/>
          <w:sz w:val="24"/>
          <w:szCs w:val="24"/>
        </w:rPr>
      </w:pPr>
      <w:r w:rsidRPr="00EB42EB">
        <w:rPr>
          <w:rFonts w:cstheme="minorHAnsi"/>
          <w:sz w:val="24"/>
          <w:szCs w:val="24"/>
        </w:rPr>
        <w:t xml:space="preserve">John Cowling, </w:t>
      </w:r>
      <w:r w:rsidR="00F22E0B" w:rsidRPr="00EB42EB">
        <w:rPr>
          <w:rFonts w:cstheme="minorHAnsi"/>
          <w:sz w:val="24"/>
          <w:szCs w:val="24"/>
        </w:rPr>
        <w:t>Chair of the Employment and Finance Committee</w:t>
      </w:r>
      <w:r w:rsidR="00872743">
        <w:rPr>
          <w:rFonts w:cstheme="minorHAnsi"/>
          <w:sz w:val="24"/>
          <w:szCs w:val="24"/>
        </w:rPr>
        <w:t xml:space="preserve">; </w:t>
      </w:r>
    </w:p>
    <w:p w14:paraId="5A2D8183" w14:textId="25E5B63B" w:rsidR="00120E47" w:rsidRDefault="00120E47" w:rsidP="00AC6B5B">
      <w:pPr>
        <w:pStyle w:val="ListParagraph"/>
        <w:numPr>
          <w:ilvl w:val="0"/>
          <w:numId w:val="6"/>
        </w:numPr>
        <w:spacing w:before="60" w:after="60" w:line="240" w:lineRule="auto"/>
        <w:rPr>
          <w:rFonts w:cstheme="minorHAnsi"/>
          <w:sz w:val="24"/>
          <w:szCs w:val="24"/>
        </w:rPr>
      </w:pPr>
      <w:r>
        <w:rPr>
          <w:rFonts w:cstheme="minorHAnsi"/>
          <w:sz w:val="24"/>
          <w:szCs w:val="24"/>
        </w:rPr>
        <w:t>Giles Searby, Deputy Chair of the Board</w:t>
      </w:r>
      <w:r w:rsidR="0090613B">
        <w:rPr>
          <w:rFonts w:cstheme="minorHAnsi"/>
          <w:sz w:val="24"/>
          <w:szCs w:val="24"/>
        </w:rPr>
        <w:t>;</w:t>
      </w:r>
    </w:p>
    <w:p w14:paraId="201FA6D9" w14:textId="63E8C352" w:rsidR="00120E47" w:rsidRPr="000A00BB" w:rsidRDefault="00120E47" w:rsidP="00AC6B5B">
      <w:pPr>
        <w:pStyle w:val="ListParagraph"/>
        <w:numPr>
          <w:ilvl w:val="0"/>
          <w:numId w:val="6"/>
        </w:numPr>
        <w:spacing w:before="60" w:after="60" w:line="240" w:lineRule="auto"/>
        <w:rPr>
          <w:rFonts w:cstheme="minorHAnsi"/>
          <w:sz w:val="24"/>
          <w:szCs w:val="24"/>
        </w:rPr>
      </w:pPr>
      <w:r>
        <w:rPr>
          <w:rFonts w:cstheme="minorHAnsi"/>
          <w:sz w:val="24"/>
          <w:szCs w:val="24"/>
        </w:rPr>
        <w:t xml:space="preserve">Tim Smith, </w:t>
      </w:r>
      <w:r w:rsidRPr="000A00BB">
        <w:rPr>
          <w:rFonts w:cstheme="minorHAnsi"/>
          <w:sz w:val="24"/>
          <w:szCs w:val="24"/>
        </w:rPr>
        <w:t xml:space="preserve">Chair of the Board </w:t>
      </w:r>
      <w:r>
        <w:rPr>
          <w:rFonts w:cstheme="minorHAnsi"/>
          <w:sz w:val="24"/>
          <w:szCs w:val="24"/>
        </w:rPr>
        <w:t>(with effect from 4 April 2024);</w:t>
      </w:r>
      <w:r w:rsidR="0090613B">
        <w:rPr>
          <w:rFonts w:cstheme="minorHAnsi"/>
          <w:sz w:val="24"/>
          <w:szCs w:val="24"/>
        </w:rPr>
        <w:t xml:space="preserve"> and</w:t>
      </w:r>
    </w:p>
    <w:p w14:paraId="1FDCACBF" w14:textId="405701FD" w:rsidR="00EB42EB" w:rsidRPr="00EB42EB" w:rsidRDefault="0043094B" w:rsidP="00AC6B5B">
      <w:pPr>
        <w:pStyle w:val="ListParagraph"/>
        <w:numPr>
          <w:ilvl w:val="0"/>
          <w:numId w:val="6"/>
        </w:numPr>
        <w:spacing w:line="240" w:lineRule="auto"/>
        <w:ind w:left="357" w:hanging="357"/>
        <w:contextualSpacing w:val="0"/>
        <w:rPr>
          <w:rFonts w:cstheme="minorHAnsi"/>
          <w:sz w:val="24"/>
          <w:szCs w:val="24"/>
        </w:rPr>
      </w:pPr>
      <w:r w:rsidRPr="00EB42EB">
        <w:rPr>
          <w:rFonts w:cstheme="minorHAnsi"/>
          <w:sz w:val="24"/>
          <w:szCs w:val="24"/>
        </w:rPr>
        <w:t xml:space="preserve">Andrea Walters, </w:t>
      </w:r>
      <w:r w:rsidR="00F22E0B" w:rsidRPr="00EB42EB">
        <w:rPr>
          <w:rFonts w:cstheme="minorHAnsi"/>
          <w:sz w:val="24"/>
          <w:szCs w:val="24"/>
        </w:rPr>
        <w:t>Co-opted Independent Member.</w:t>
      </w:r>
    </w:p>
    <w:p w14:paraId="40E79A4D" w14:textId="2C110265" w:rsidR="0043094B" w:rsidRDefault="0043094B" w:rsidP="00AC6B5B">
      <w:pPr>
        <w:spacing w:line="240" w:lineRule="auto"/>
        <w:rPr>
          <w:rFonts w:cstheme="minorHAnsi"/>
          <w:sz w:val="24"/>
          <w:szCs w:val="24"/>
        </w:rPr>
      </w:pPr>
      <w:r>
        <w:rPr>
          <w:rFonts w:cstheme="minorHAnsi"/>
          <w:sz w:val="24"/>
          <w:szCs w:val="24"/>
        </w:rPr>
        <w:t>All appointments were recommended by the Governance and Nominations Committee and approved by the Board</w:t>
      </w:r>
      <w:r w:rsidR="00294C17">
        <w:rPr>
          <w:rFonts w:cstheme="minorHAnsi"/>
          <w:sz w:val="24"/>
          <w:szCs w:val="24"/>
        </w:rPr>
        <w:t>.</w:t>
      </w:r>
    </w:p>
    <w:p w14:paraId="03CF264B" w14:textId="36CD917F" w:rsidR="00F22E0B" w:rsidRDefault="00F22E0B" w:rsidP="00AC6B5B">
      <w:pPr>
        <w:spacing w:before="120" w:after="120" w:line="240" w:lineRule="auto"/>
        <w:rPr>
          <w:sz w:val="24"/>
          <w:szCs w:val="24"/>
        </w:rPr>
      </w:pPr>
      <w:r w:rsidRPr="204FE43A">
        <w:rPr>
          <w:sz w:val="24"/>
          <w:szCs w:val="24"/>
        </w:rPr>
        <w:t xml:space="preserve">As recommended by the Code, the Vice-Chancellor is not a member of the Committee and </w:t>
      </w:r>
      <w:r w:rsidR="00AE39B5">
        <w:rPr>
          <w:sz w:val="24"/>
          <w:szCs w:val="24"/>
        </w:rPr>
        <w:t xml:space="preserve">previously </w:t>
      </w:r>
      <w:r w:rsidR="00262079" w:rsidRPr="204FE43A">
        <w:rPr>
          <w:sz w:val="24"/>
          <w:szCs w:val="24"/>
        </w:rPr>
        <w:t>attended</w:t>
      </w:r>
      <w:r w:rsidR="00FC0EB5" w:rsidRPr="204FE43A">
        <w:rPr>
          <w:sz w:val="24"/>
          <w:szCs w:val="24"/>
        </w:rPr>
        <w:t xml:space="preserve"> meetings</w:t>
      </w:r>
      <w:r w:rsidR="00262079" w:rsidRPr="204FE43A">
        <w:rPr>
          <w:sz w:val="24"/>
          <w:szCs w:val="24"/>
        </w:rPr>
        <w:t xml:space="preserve"> </w:t>
      </w:r>
      <w:r w:rsidRPr="204FE43A">
        <w:rPr>
          <w:sz w:val="24"/>
          <w:szCs w:val="24"/>
        </w:rPr>
        <w:t xml:space="preserve">on an exceptional basis, for specific items only, unrelated to </w:t>
      </w:r>
      <w:r w:rsidR="00437C8E" w:rsidRPr="204FE43A">
        <w:rPr>
          <w:sz w:val="24"/>
          <w:szCs w:val="24"/>
        </w:rPr>
        <w:t xml:space="preserve">their </w:t>
      </w:r>
      <w:r w:rsidRPr="204FE43A">
        <w:rPr>
          <w:sz w:val="24"/>
          <w:szCs w:val="24"/>
        </w:rPr>
        <w:t xml:space="preserve">own remuneration. </w:t>
      </w:r>
      <w:r w:rsidR="002F470B" w:rsidRPr="204FE43A">
        <w:rPr>
          <w:sz w:val="24"/>
          <w:szCs w:val="24"/>
        </w:rPr>
        <w:t xml:space="preserve">At </w:t>
      </w:r>
      <w:r w:rsidR="00A96E00" w:rsidRPr="204FE43A">
        <w:rPr>
          <w:sz w:val="24"/>
          <w:szCs w:val="24"/>
        </w:rPr>
        <w:t>its</w:t>
      </w:r>
      <w:r w:rsidR="002F470B" w:rsidRPr="204FE43A">
        <w:rPr>
          <w:sz w:val="24"/>
          <w:szCs w:val="24"/>
        </w:rPr>
        <w:t xml:space="preserve"> June 2024 meeting, the Committee agreed that the Vice-Chancellor would regularly attend meetings going forward to advise on </w:t>
      </w:r>
      <w:r w:rsidR="00A96E00" w:rsidRPr="204FE43A">
        <w:rPr>
          <w:sz w:val="24"/>
          <w:szCs w:val="24"/>
        </w:rPr>
        <w:t>E</w:t>
      </w:r>
      <w:r w:rsidR="002F470B" w:rsidRPr="204FE43A">
        <w:rPr>
          <w:sz w:val="24"/>
          <w:szCs w:val="24"/>
        </w:rPr>
        <w:t xml:space="preserve">xecutive and senior staff matters. </w:t>
      </w:r>
      <w:r w:rsidR="00A96E00" w:rsidRPr="204FE43A">
        <w:rPr>
          <w:sz w:val="24"/>
          <w:szCs w:val="24"/>
        </w:rPr>
        <w:t>T</w:t>
      </w:r>
      <w:r w:rsidR="002F470B" w:rsidRPr="204FE43A">
        <w:rPr>
          <w:sz w:val="24"/>
          <w:szCs w:val="24"/>
        </w:rPr>
        <w:t>he V</w:t>
      </w:r>
      <w:r w:rsidR="00A96E00" w:rsidRPr="204FE43A">
        <w:rPr>
          <w:sz w:val="24"/>
          <w:szCs w:val="24"/>
        </w:rPr>
        <w:t>ice-Chancellor</w:t>
      </w:r>
      <w:r w:rsidR="002F470B" w:rsidRPr="204FE43A">
        <w:rPr>
          <w:sz w:val="24"/>
          <w:szCs w:val="24"/>
        </w:rPr>
        <w:t xml:space="preserve"> </w:t>
      </w:r>
      <w:r w:rsidR="006B45D1">
        <w:rPr>
          <w:sz w:val="24"/>
          <w:szCs w:val="24"/>
        </w:rPr>
        <w:t>does</w:t>
      </w:r>
      <w:r w:rsidR="006B45D1" w:rsidRPr="204FE43A">
        <w:rPr>
          <w:sz w:val="24"/>
          <w:szCs w:val="24"/>
        </w:rPr>
        <w:t xml:space="preserve"> </w:t>
      </w:r>
      <w:r w:rsidR="002F470B" w:rsidRPr="204FE43A">
        <w:rPr>
          <w:sz w:val="24"/>
          <w:szCs w:val="24"/>
        </w:rPr>
        <w:t xml:space="preserve">not attend </w:t>
      </w:r>
      <w:r w:rsidR="000B0FFE" w:rsidRPr="204FE43A">
        <w:rPr>
          <w:sz w:val="24"/>
          <w:szCs w:val="24"/>
        </w:rPr>
        <w:t xml:space="preserve">for </w:t>
      </w:r>
      <w:r w:rsidR="00A96E00" w:rsidRPr="204FE43A">
        <w:rPr>
          <w:sz w:val="24"/>
          <w:szCs w:val="24"/>
        </w:rPr>
        <w:t xml:space="preserve">any </w:t>
      </w:r>
      <w:r w:rsidR="000B0FFE" w:rsidRPr="204FE43A">
        <w:rPr>
          <w:sz w:val="24"/>
          <w:szCs w:val="24"/>
        </w:rPr>
        <w:t xml:space="preserve">items relating to </w:t>
      </w:r>
      <w:r w:rsidR="00A96E00" w:rsidRPr="204FE43A">
        <w:rPr>
          <w:sz w:val="24"/>
          <w:szCs w:val="24"/>
        </w:rPr>
        <w:t>their remuneration.</w:t>
      </w:r>
      <w:r w:rsidR="002F470B" w:rsidRPr="204FE43A">
        <w:rPr>
          <w:sz w:val="24"/>
          <w:szCs w:val="24"/>
        </w:rPr>
        <w:t xml:space="preserve"> </w:t>
      </w:r>
      <w:r w:rsidRPr="204FE43A">
        <w:rPr>
          <w:sz w:val="24"/>
          <w:szCs w:val="24"/>
        </w:rPr>
        <w:t>The University Secretary</w:t>
      </w:r>
      <w:r w:rsidR="006B45D1">
        <w:rPr>
          <w:sz w:val="24"/>
          <w:szCs w:val="24"/>
        </w:rPr>
        <w:t xml:space="preserve"> and</w:t>
      </w:r>
      <w:r w:rsidRPr="204FE43A">
        <w:rPr>
          <w:sz w:val="24"/>
          <w:szCs w:val="24"/>
        </w:rPr>
        <w:t xml:space="preserve"> </w:t>
      </w:r>
      <w:r w:rsidR="006B45D1">
        <w:rPr>
          <w:sz w:val="24"/>
          <w:szCs w:val="24"/>
        </w:rPr>
        <w:t xml:space="preserve">Executive </w:t>
      </w:r>
      <w:r w:rsidR="0090613B" w:rsidRPr="204FE43A">
        <w:rPr>
          <w:sz w:val="24"/>
          <w:szCs w:val="24"/>
        </w:rPr>
        <w:t>Director of Human Resource</w:t>
      </w:r>
      <w:r w:rsidR="009777B0" w:rsidRPr="204FE43A">
        <w:rPr>
          <w:sz w:val="24"/>
          <w:szCs w:val="24"/>
        </w:rPr>
        <w:t xml:space="preserve">s </w:t>
      </w:r>
      <w:r w:rsidR="0090613B" w:rsidRPr="204FE43A">
        <w:rPr>
          <w:sz w:val="24"/>
          <w:szCs w:val="24"/>
        </w:rPr>
        <w:t>and Organisational Development</w:t>
      </w:r>
      <w:r w:rsidR="006B45D1">
        <w:rPr>
          <w:sz w:val="24"/>
          <w:szCs w:val="24"/>
        </w:rPr>
        <w:t xml:space="preserve"> (HROD)</w:t>
      </w:r>
      <w:r w:rsidRPr="204FE43A">
        <w:rPr>
          <w:sz w:val="24"/>
          <w:szCs w:val="24"/>
        </w:rPr>
        <w:t xml:space="preserve"> </w:t>
      </w:r>
      <w:r w:rsidR="00A96E00" w:rsidRPr="204FE43A">
        <w:rPr>
          <w:sz w:val="24"/>
          <w:szCs w:val="24"/>
        </w:rPr>
        <w:t xml:space="preserve">continued to </w:t>
      </w:r>
      <w:r w:rsidRPr="204FE43A">
        <w:rPr>
          <w:sz w:val="24"/>
          <w:szCs w:val="24"/>
        </w:rPr>
        <w:t>regularly attend Committee meetings (</w:t>
      </w:r>
      <w:r w:rsidR="00294C17" w:rsidRPr="204FE43A">
        <w:rPr>
          <w:sz w:val="24"/>
          <w:szCs w:val="24"/>
        </w:rPr>
        <w:t>except for</w:t>
      </w:r>
      <w:r w:rsidRPr="204FE43A">
        <w:rPr>
          <w:sz w:val="24"/>
          <w:szCs w:val="24"/>
        </w:rPr>
        <w:t xml:space="preserve"> matters relating to their own remuneration).</w:t>
      </w:r>
    </w:p>
    <w:p w14:paraId="0602A2F9" w14:textId="77777777" w:rsidR="00AC6B5B" w:rsidRDefault="00AC6B5B">
      <w:pPr>
        <w:rPr>
          <w:rFonts w:cstheme="minorHAnsi"/>
          <w:b/>
          <w:bCs/>
          <w:sz w:val="24"/>
          <w:szCs w:val="24"/>
        </w:rPr>
      </w:pPr>
      <w:r>
        <w:rPr>
          <w:rFonts w:cstheme="minorHAnsi"/>
          <w:b/>
          <w:bCs/>
          <w:sz w:val="24"/>
          <w:szCs w:val="24"/>
        </w:rPr>
        <w:br w:type="page"/>
      </w:r>
    </w:p>
    <w:p w14:paraId="3CFCBCA0" w14:textId="00563382" w:rsidR="00F22E0B" w:rsidRPr="00F22E0B" w:rsidRDefault="00F22E0B" w:rsidP="00AC6B5B">
      <w:pPr>
        <w:pStyle w:val="ListParagraph"/>
        <w:numPr>
          <w:ilvl w:val="0"/>
          <w:numId w:val="7"/>
        </w:numPr>
        <w:spacing w:before="120" w:after="120" w:line="240" w:lineRule="auto"/>
        <w:jc w:val="both"/>
        <w:rPr>
          <w:rFonts w:cstheme="minorHAnsi"/>
          <w:b/>
          <w:bCs/>
          <w:sz w:val="24"/>
          <w:szCs w:val="24"/>
        </w:rPr>
      </w:pPr>
      <w:r w:rsidRPr="00F22E0B">
        <w:rPr>
          <w:rFonts w:cstheme="minorHAnsi"/>
          <w:b/>
          <w:bCs/>
          <w:sz w:val="24"/>
          <w:szCs w:val="24"/>
        </w:rPr>
        <w:lastRenderedPageBreak/>
        <w:t>Meeting frequency</w:t>
      </w:r>
      <w:r w:rsidR="005702E7">
        <w:rPr>
          <w:rFonts w:cstheme="minorHAnsi"/>
          <w:b/>
          <w:bCs/>
          <w:sz w:val="24"/>
          <w:szCs w:val="24"/>
        </w:rPr>
        <w:t xml:space="preserve">, </w:t>
      </w:r>
      <w:r w:rsidR="005702E7" w:rsidRPr="00F22E0B">
        <w:rPr>
          <w:rFonts w:cstheme="minorHAnsi"/>
          <w:b/>
          <w:bCs/>
          <w:sz w:val="24"/>
          <w:szCs w:val="24"/>
        </w:rPr>
        <w:t>attendance</w:t>
      </w:r>
      <w:r w:rsidR="005702E7">
        <w:rPr>
          <w:rFonts w:cstheme="minorHAnsi"/>
          <w:b/>
          <w:bCs/>
          <w:sz w:val="24"/>
          <w:szCs w:val="24"/>
        </w:rPr>
        <w:t xml:space="preserve"> and availability of minutes </w:t>
      </w:r>
    </w:p>
    <w:p w14:paraId="46DD1480" w14:textId="7A074BB5" w:rsidR="00F22E0B" w:rsidRPr="00F22E0B" w:rsidRDefault="00F22E0B" w:rsidP="00AC6B5B">
      <w:pPr>
        <w:spacing w:before="60" w:after="120" w:line="240" w:lineRule="auto"/>
        <w:contextualSpacing/>
        <w:rPr>
          <w:rFonts w:cstheme="minorHAnsi"/>
          <w:sz w:val="24"/>
          <w:szCs w:val="24"/>
        </w:rPr>
      </w:pPr>
      <w:r w:rsidRPr="00F22E0B">
        <w:rPr>
          <w:rFonts w:cstheme="minorHAnsi"/>
          <w:sz w:val="24"/>
          <w:szCs w:val="24"/>
        </w:rPr>
        <w:t>During the 202</w:t>
      </w:r>
      <w:r w:rsidR="00FE3242">
        <w:rPr>
          <w:rFonts w:cstheme="minorHAnsi"/>
          <w:sz w:val="24"/>
          <w:szCs w:val="24"/>
        </w:rPr>
        <w:t>4</w:t>
      </w:r>
      <w:r w:rsidR="004F4678">
        <w:rPr>
          <w:rFonts w:cstheme="minorHAnsi"/>
          <w:sz w:val="24"/>
          <w:szCs w:val="24"/>
        </w:rPr>
        <w:t>/2</w:t>
      </w:r>
      <w:r w:rsidR="00FE3242">
        <w:rPr>
          <w:rFonts w:cstheme="minorHAnsi"/>
          <w:sz w:val="24"/>
          <w:szCs w:val="24"/>
        </w:rPr>
        <w:t>5</w:t>
      </w:r>
      <w:r w:rsidRPr="00F22E0B">
        <w:rPr>
          <w:rFonts w:cstheme="minorHAnsi"/>
          <w:sz w:val="24"/>
          <w:szCs w:val="24"/>
        </w:rPr>
        <w:t xml:space="preserve"> academic year, the Committee met on the following occasions:</w:t>
      </w:r>
    </w:p>
    <w:p w14:paraId="0BAB8F39" w14:textId="6ABE5722" w:rsidR="00FE3242" w:rsidRDefault="00FE3242" w:rsidP="00AC6B5B">
      <w:pPr>
        <w:pStyle w:val="ListParagraph"/>
        <w:numPr>
          <w:ilvl w:val="0"/>
          <w:numId w:val="22"/>
        </w:numPr>
        <w:spacing w:before="60" w:after="120" w:line="240" w:lineRule="auto"/>
        <w:rPr>
          <w:rFonts w:cstheme="minorHAnsi"/>
          <w:sz w:val="24"/>
          <w:szCs w:val="24"/>
        </w:rPr>
      </w:pPr>
      <w:r>
        <w:rPr>
          <w:rFonts w:cstheme="minorHAnsi"/>
          <w:sz w:val="24"/>
          <w:szCs w:val="24"/>
        </w:rPr>
        <w:t>5 September 2024 (Special Meeting)</w:t>
      </w:r>
    </w:p>
    <w:p w14:paraId="2A684C31" w14:textId="7008B77D" w:rsidR="00F22E0B" w:rsidRPr="00EB42EB" w:rsidRDefault="00FE3242" w:rsidP="00AC6B5B">
      <w:pPr>
        <w:pStyle w:val="ListParagraph"/>
        <w:numPr>
          <w:ilvl w:val="0"/>
          <w:numId w:val="22"/>
        </w:numPr>
        <w:spacing w:before="60" w:after="120" w:line="240" w:lineRule="auto"/>
        <w:rPr>
          <w:rFonts w:cstheme="minorHAnsi"/>
          <w:sz w:val="24"/>
          <w:szCs w:val="24"/>
        </w:rPr>
      </w:pPr>
      <w:r>
        <w:rPr>
          <w:rFonts w:cstheme="minorHAnsi"/>
          <w:sz w:val="24"/>
          <w:szCs w:val="24"/>
        </w:rPr>
        <w:t xml:space="preserve">24 </w:t>
      </w:r>
      <w:r w:rsidR="00120E47">
        <w:rPr>
          <w:rFonts w:cstheme="minorHAnsi"/>
          <w:sz w:val="24"/>
          <w:szCs w:val="24"/>
        </w:rPr>
        <w:t xml:space="preserve">September </w:t>
      </w:r>
      <w:r w:rsidR="006B45D1" w:rsidRPr="00EB42EB">
        <w:rPr>
          <w:rFonts w:cstheme="minorHAnsi"/>
          <w:sz w:val="24"/>
          <w:szCs w:val="24"/>
        </w:rPr>
        <w:t>202</w:t>
      </w:r>
      <w:r w:rsidR="006B45D1">
        <w:rPr>
          <w:rFonts w:cstheme="minorHAnsi"/>
          <w:sz w:val="24"/>
          <w:szCs w:val="24"/>
        </w:rPr>
        <w:t>4</w:t>
      </w:r>
    </w:p>
    <w:p w14:paraId="5284B43B" w14:textId="534C4CB7" w:rsidR="004F4678" w:rsidRDefault="006B45D1" w:rsidP="00AC6B5B">
      <w:pPr>
        <w:pStyle w:val="ListParagraph"/>
        <w:numPr>
          <w:ilvl w:val="0"/>
          <w:numId w:val="22"/>
        </w:numPr>
        <w:spacing w:before="60" w:after="120" w:line="240" w:lineRule="auto"/>
        <w:rPr>
          <w:rFonts w:cstheme="minorHAnsi"/>
          <w:sz w:val="24"/>
          <w:szCs w:val="24"/>
        </w:rPr>
      </w:pPr>
      <w:r>
        <w:rPr>
          <w:rFonts w:cstheme="minorHAnsi"/>
          <w:sz w:val="24"/>
          <w:szCs w:val="24"/>
        </w:rPr>
        <w:t>5 November 2024 (Special Meeting)</w:t>
      </w:r>
    </w:p>
    <w:p w14:paraId="3D962E45" w14:textId="37BCF319" w:rsidR="006B45D1" w:rsidRPr="00EB42EB" w:rsidRDefault="006B45D1" w:rsidP="00AC6B5B">
      <w:pPr>
        <w:pStyle w:val="ListParagraph"/>
        <w:numPr>
          <w:ilvl w:val="0"/>
          <w:numId w:val="22"/>
        </w:numPr>
        <w:spacing w:before="60" w:after="120" w:line="240" w:lineRule="auto"/>
        <w:rPr>
          <w:rFonts w:cstheme="minorHAnsi"/>
          <w:sz w:val="24"/>
          <w:szCs w:val="24"/>
        </w:rPr>
      </w:pPr>
      <w:r>
        <w:rPr>
          <w:rFonts w:cstheme="minorHAnsi"/>
          <w:sz w:val="24"/>
          <w:szCs w:val="24"/>
        </w:rPr>
        <w:t>29 April 2025 (Special Meeting)</w:t>
      </w:r>
    </w:p>
    <w:p w14:paraId="6D70E466" w14:textId="09CF37AE" w:rsidR="00F22E0B" w:rsidRPr="00EB42EB" w:rsidRDefault="006B45D1" w:rsidP="00AC6B5B">
      <w:pPr>
        <w:pStyle w:val="ListParagraph"/>
        <w:numPr>
          <w:ilvl w:val="0"/>
          <w:numId w:val="22"/>
        </w:numPr>
        <w:spacing w:before="60" w:line="240" w:lineRule="auto"/>
        <w:contextualSpacing w:val="0"/>
        <w:rPr>
          <w:rFonts w:cstheme="minorHAnsi"/>
          <w:sz w:val="24"/>
          <w:szCs w:val="24"/>
        </w:rPr>
      </w:pPr>
      <w:r>
        <w:rPr>
          <w:rFonts w:cstheme="minorHAnsi"/>
          <w:sz w:val="24"/>
          <w:szCs w:val="24"/>
        </w:rPr>
        <w:t>1 July</w:t>
      </w:r>
      <w:r w:rsidR="00F22E0B" w:rsidRPr="00EB42EB">
        <w:rPr>
          <w:rFonts w:cstheme="minorHAnsi"/>
          <w:sz w:val="24"/>
          <w:szCs w:val="24"/>
        </w:rPr>
        <w:t xml:space="preserve"> </w:t>
      </w:r>
      <w:r w:rsidR="0097760F" w:rsidRPr="00EB42EB">
        <w:rPr>
          <w:rFonts w:cstheme="minorHAnsi"/>
          <w:sz w:val="24"/>
          <w:szCs w:val="24"/>
        </w:rPr>
        <w:t>202</w:t>
      </w:r>
      <w:r w:rsidR="0097760F">
        <w:rPr>
          <w:rFonts w:cstheme="minorHAnsi"/>
          <w:sz w:val="24"/>
          <w:szCs w:val="24"/>
        </w:rPr>
        <w:t>5</w:t>
      </w:r>
    </w:p>
    <w:p w14:paraId="62862BD6" w14:textId="0B73343B" w:rsidR="00FE3242" w:rsidRDefault="004233D8" w:rsidP="00AC6B5B">
      <w:pPr>
        <w:spacing w:after="0" w:line="240" w:lineRule="auto"/>
        <w:rPr>
          <w:rFonts w:cstheme="minorHAnsi"/>
          <w:sz w:val="24"/>
          <w:szCs w:val="24"/>
        </w:rPr>
      </w:pPr>
      <w:r>
        <w:rPr>
          <w:rFonts w:cstheme="minorHAnsi"/>
          <w:sz w:val="24"/>
          <w:szCs w:val="24"/>
        </w:rPr>
        <w:t>A d</w:t>
      </w:r>
      <w:r w:rsidR="00FE3242">
        <w:rPr>
          <w:rFonts w:cstheme="minorHAnsi"/>
          <w:sz w:val="24"/>
          <w:szCs w:val="24"/>
        </w:rPr>
        <w:t xml:space="preserve">ecision </w:t>
      </w:r>
      <w:r>
        <w:rPr>
          <w:rFonts w:cstheme="minorHAnsi"/>
          <w:sz w:val="24"/>
          <w:szCs w:val="24"/>
        </w:rPr>
        <w:t xml:space="preserve">was </w:t>
      </w:r>
      <w:r w:rsidR="00FE3242">
        <w:rPr>
          <w:rFonts w:cstheme="minorHAnsi"/>
          <w:sz w:val="24"/>
          <w:szCs w:val="24"/>
        </w:rPr>
        <w:t xml:space="preserve">taken </w:t>
      </w:r>
      <w:r w:rsidR="0097760F">
        <w:rPr>
          <w:rFonts w:cstheme="minorHAnsi"/>
          <w:sz w:val="24"/>
          <w:szCs w:val="24"/>
        </w:rPr>
        <w:t>in</w:t>
      </w:r>
      <w:r w:rsidR="0029743A">
        <w:rPr>
          <w:rFonts w:cstheme="minorHAnsi"/>
          <w:sz w:val="24"/>
          <w:szCs w:val="24"/>
        </w:rPr>
        <w:t xml:space="preserve"> </w:t>
      </w:r>
      <w:r w:rsidR="00386E02">
        <w:rPr>
          <w:rFonts w:cstheme="minorHAnsi"/>
          <w:sz w:val="24"/>
          <w:szCs w:val="24"/>
        </w:rPr>
        <w:t>June 2025</w:t>
      </w:r>
      <w:r w:rsidR="00FE3242">
        <w:rPr>
          <w:rFonts w:cstheme="minorHAnsi"/>
          <w:sz w:val="24"/>
          <w:szCs w:val="24"/>
        </w:rPr>
        <w:t xml:space="preserve"> to reduce the frequency of scheduled meetings to two meetings per year.  </w:t>
      </w:r>
      <w:r w:rsidR="004D62B1">
        <w:rPr>
          <w:rFonts w:cstheme="minorHAnsi"/>
          <w:sz w:val="24"/>
          <w:szCs w:val="24"/>
        </w:rPr>
        <w:t>This</w:t>
      </w:r>
      <w:r w:rsidR="00FE3242">
        <w:rPr>
          <w:rFonts w:cstheme="minorHAnsi"/>
          <w:sz w:val="24"/>
          <w:szCs w:val="24"/>
        </w:rPr>
        <w:t xml:space="preserve"> approach </w:t>
      </w:r>
      <w:r w:rsidR="004D62B1">
        <w:rPr>
          <w:rFonts w:cstheme="minorHAnsi"/>
          <w:sz w:val="24"/>
          <w:szCs w:val="24"/>
        </w:rPr>
        <w:t>will co</w:t>
      </w:r>
      <w:r w:rsidR="002E6F2F">
        <w:rPr>
          <w:rFonts w:cstheme="minorHAnsi"/>
          <w:sz w:val="24"/>
          <w:szCs w:val="24"/>
        </w:rPr>
        <w:t xml:space="preserve">ntinue </w:t>
      </w:r>
      <w:r w:rsidR="00FE3242">
        <w:rPr>
          <w:rFonts w:cstheme="minorHAnsi"/>
          <w:sz w:val="24"/>
          <w:szCs w:val="24"/>
        </w:rPr>
        <w:t>for 2025/26 despite the number of special meetings held in 2024/25 since these were largely due to exceptional matters associated with change programme</w:t>
      </w:r>
      <w:r w:rsidR="004C387F">
        <w:rPr>
          <w:rFonts w:cstheme="minorHAnsi"/>
          <w:sz w:val="24"/>
          <w:szCs w:val="24"/>
        </w:rPr>
        <w:t>s and academic restructuring.</w:t>
      </w:r>
    </w:p>
    <w:p w14:paraId="75FD4E8D" w14:textId="77777777" w:rsidR="00FE3242" w:rsidRDefault="00FE3242" w:rsidP="00AC6B5B">
      <w:pPr>
        <w:spacing w:after="0" w:line="240" w:lineRule="auto"/>
        <w:rPr>
          <w:rFonts w:cstheme="minorHAnsi"/>
          <w:sz w:val="24"/>
          <w:szCs w:val="24"/>
        </w:rPr>
      </w:pPr>
    </w:p>
    <w:p w14:paraId="1EF710F9" w14:textId="0E6D8AD4" w:rsidR="00F22E0B" w:rsidRDefault="00F22E0B" w:rsidP="00AC6B5B">
      <w:pPr>
        <w:spacing w:after="0" w:line="240" w:lineRule="auto"/>
        <w:rPr>
          <w:rFonts w:cstheme="minorHAnsi"/>
          <w:sz w:val="24"/>
          <w:szCs w:val="24"/>
        </w:rPr>
      </w:pPr>
      <w:r w:rsidRPr="00F22E0B">
        <w:rPr>
          <w:rFonts w:cstheme="minorHAnsi"/>
          <w:sz w:val="24"/>
          <w:szCs w:val="24"/>
        </w:rPr>
        <w:t xml:space="preserve">Attendance for the year was </w:t>
      </w:r>
      <w:r w:rsidR="00C1409D">
        <w:rPr>
          <w:rFonts w:cstheme="minorHAnsi"/>
          <w:sz w:val="24"/>
          <w:szCs w:val="24"/>
        </w:rPr>
        <w:t>83</w:t>
      </w:r>
      <w:r w:rsidRPr="005C42FB">
        <w:rPr>
          <w:rFonts w:cstheme="minorHAnsi"/>
          <w:sz w:val="24"/>
          <w:szCs w:val="24"/>
        </w:rPr>
        <w:t>%</w:t>
      </w:r>
      <w:r w:rsidRPr="00F22E0B">
        <w:rPr>
          <w:rFonts w:cstheme="minorHAnsi"/>
          <w:sz w:val="24"/>
          <w:szCs w:val="24"/>
        </w:rPr>
        <w:t xml:space="preserve"> (</w:t>
      </w:r>
      <w:r w:rsidR="00FE3242" w:rsidRPr="00F22E0B">
        <w:rPr>
          <w:rFonts w:cstheme="minorHAnsi"/>
          <w:sz w:val="24"/>
          <w:szCs w:val="24"/>
        </w:rPr>
        <w:t>20</w:t>
      </w:r>
      <w:r w:rsidR="00FE3242">
        <w:rPr>
          <w:rFonts w:cstheme="minorHAnsi"/>
          <w:sz w:val="24"/>
          <w:szCs w:val="24"/>
        </w:rPr>
        <w:t>23</w:t>
      </w:r>
      <w:r w:rsidRPr="00F22E0B">
        <w:rPr>
          <w:rFonts w:cstheme="minorHAnsi"/>
          <w:sz w:val="24"/>
          <w:szCs w:val="24"/>
        </w:rPr>
        <w:t>/</w:t>
      </w:r>
      <w:r w:rsidR="00120E47">
        <w:rPr>
          <w:rFonts w:cstheme="minorHAnsi"/>
          <w:sz w:val="24"/>
          <w:szCs w:val="24"/>
        </w:rPr>
        <w:t>2</w:t>
      </w:r>
      <w:r w:rsidR="00FE3242">
        <w:rPr>
          <w:rFonts w:cstheme="minorHAnsi"/>
          <w:sz w:val="24"/>
          <w:szCs w:val="24"/>
        </w:rPr>
        <w:t>4</w:t>
      </w:r>
      <w:r w:rsidR="005C42FB">
        <w:rPr>
          <w:rFonts w:cstheme="minorHAnsi"/>
          <w:sz w:val="24"/>
          <w:szCs w:val="24"/>
        </w:rPr>
        <w:t>:</w:t>
      </w:r>
      <w:r w:rsidRPr="00F22E0B">
        <w:rPr>
          <w:rFonts w:cstheme="minorHAnsi"/>
          <w:sz w:val="24"/>
          <w:szCs w:val="24"/>
        </w:rPr>
        <w:t xml:space="preserve"> </w:t>
      </w:r>
      <w:r w:rsidR="00FE3242">
        <w:rPr>
          <w:rFonts w:cstheme="minorHAnsi"/>
          <w:sz w:val="24"/>
          <w:szCs w:val="24"/>
        </w:rPr>
        <w:t>83</w:t>
      </w:r>
      <w:r w:rsidRPr="00F22E0B">
        <w:rPr>
          <w:rFonts w:cstheme="minorHAnsi"/>
          <w:sz w:val="24"/>
          <w:szCs w:val="24"/>
        </w:rPr>
        <w:t xml:space="preserve">%) and all meetings were quorate. The </w:t>
      </w:r>
      <w:r w:rsidR="00372087">
        <w:rPr>
          <w:rFonts w:cstheme="minorHAnsi"/>
          <w:sz w:val="24"/>
          <w:szCs w:val="24"/>
        </w:rPr>
        <w:t xml:space="preserve">open, </w:t>
      </w:r>
      <w:hyperlink r:id="rId12" w:history="1">
        <w:r w:rsidR="00372087" w:rsidRPr="0013577A">
          <w:rPr>
            <w:rStyle w:val="Hyperlink"/>
            <w:rFonts w:cstheme="minorHAnsi"/>
            <w:sz w:val="24"/>
            <w:szCs w:val="24"/>
          </w:rPr>
          <w:t xml:space="preserve">confirmed </w:t>
        </w:r>
        <w:r w:rsidRPr="0013577A">
          <w:rPr>
            <w:rStyle w:val="Hyperlink"/>
            <w:rFonts w:cstheme="minorHAnsi"/>
            <w:sz w:val="24"/>
            <w:szCs w:val="24"/>
          </w:rPr>
          <w:t>minutes</w:t>
        </w:r>
      </w:hyperlink>
      <w:r w:rsidRPr="00F22E0B">
        <w:rPr>
          <w:rFonts w:cstheme="minorHAnsi"/>
          <w:sz w:val="24"/>
          <w:szCs w:val="24"/>
        </w:rPr>
        <w:t xml:space="preserve"> of the Committee's meetings are </w:t>
      </w:r>
      <w:r w:rsidR="000A00BB" w:rsidRPr="00372087">
        <w:rPr>
          <w:rFonts w:cstheme="minorHAnsi"/>
          <w:sz w:val="24"/>
          <w:szCs w:val="24"/>
        </w:rPr>
        <w:t xml:space="preserve">available </w:t>
      </w:r>
      <w:bookmarkStart w:id="0" w:name="_Hlk115791606"/>
      <w:r w:rsidR="000A00BB" w:rsidRPr="00372087">
        <w:rPr>
          <w:rFonts w:cstheme="minorHAnsi"/>
          <w:sz w:val="24"/>
          <w:szCs w:val="24"/>
        </w:rPr>
        <w:t>on the University’s website.</w:t>
      </w:r>
      <w:r w:rsidRPr="00F22E0B">
        <w:rPr>
          <w:rFonts w:cstheme="minorHAnsi"/>
          <w:sz w:val="24"/>
          <w:szCs w:val="24"/>
        </w:rPr>
        <w:t xml:space="preserve"> </w:t>
      </w:r>
      <w:bookmarkEnd w:id="0"/>
    </w:p>
    <w:p w14:paraId="16816AFB" w14:textId="77777777" w:rsidR="005B436E" w:rsidRPr="00F22E0B" w:rsidRDefault="005B436E" w:rsidP="00AC6B5B">
      <w:pPr>
        <w:spacing w:after="0" w:line="240" w:lineRule="auto"/>
        <w:rPr>
          <w:rFonts w:cstheme="minorHAnsi"/>
          <w:sz w:val="24"/>
          <w:szCs w:val="24"/>
        </w:rPr>
      </w:pPr>
    </w:p>
    <w:p w14:paraId="3E46EA96" w14:textId="6680B749" w:rsidR="00F22E0B" w:rsidRPr="00F22E0B" w:rsidRDefault="00FC7022" w:rsidP="00AC6B5B">
      <w:pPr>
        <w:spacing w:after="120" w:line="240" w:lineRule="auto"/>
        <w:rPr>
          <w:b/>
          <w:color w:val="621B40"/>
          <w:sz w:val="24"/>
          <w:szCs w:val="24"/>
        </w:rPr>
      </w:pPr>
      <w:r w:rsidRPr="00F22E0B">
        <w:rPr>
          <w:b/>
          <w:color w:val="621B40"/>
          <w:sz w:val="24"/>
          <w:szCs w:val="24"/>
        </w:rPr>
        <w:t>APPROACH TO REMUNERATION</w:t>
      </w:r>
    </w:p>
    <w:p w14:paraId="41A25103" w14:textId="77777777" w:rsidR="00F22E0B" w:rsidRPr="00F22E0B" w:rsidRDefault="00F22E0B" w:rsidP="00AC6B5B">
      <w:pPr>
        <w:pStyle w:val="ListParagraph"/>
        <w:numPr>
          <w:ilvl w:val="0"/>
          <w:numId w:val="7"/>
        </w:numPr>
        <w:spacing w:before="120" w:after="120" w:line="240" w:lineRule="auto"/>
        <w:jc w:val="both"/>
        <w:rPr>
          <w:rFonts w:cstheme="minorHAnsi"/>
          <w:b/>
          <w:bCs/>
          <w:sz w:val="24"/>
          <w:szCs w:val="24"/>
        </w:rPr>
      </w:pPr>
      <w:r w:rsidRPr="00F22E0B">
        <w:rPr>
          <w:rFonts w:cstheme="minorHAnsi"/>
          <w:b/>
          <w:bCs/>
          <w:sz w:val="24"/>
          <w:szCs w:val="24"/>
        </w:rPr>
        <w:t>Context</w:t>
      </w:r>
    </w:p>
    <w:p w14:paraId="0B0AB5BD" w14:textId="221B886E" w:rsidR="00F22E0B" w:rsidRPr="00F22E0B" w:rsidRDefault="00F22E0B" w:rsidP="00AC6B5B">
      <w:pPr>
        <w:spacing w:line="240" w:lineRule="auto"/>
        <w:rPr>
          <w:sz w:val="24"/>
          <w:szCs w:val="24"/>
        </w:rPr>
      </w:pPr>
      <w:r w:rsidRPr="00F22E0B">
        <w:rPr>
          <w:sz w:val="24"/>
          <w:szCs w:val="24"/>
        </w:rPr>
        <w:t xml:space="preserve">The UK has a world-leading </w:t>
      </w:r>
      <w:r w:rsidR="00BA1CDB">
        <w:rPr>
          <w:sz w:val="24"/>
          <w:szCs w:val="24"/>
        </w:rPr>
        <w:t>H</w:t>
      </w:r>
      <w:r w:rsidRPr="00F22E0B">
        <w:rPr>
          <w:sz w:val="24"/>
          <w:szCs w:val="24"/>
        </w:rPr>
        <w:t xml:space="preserve">igher </w:t>
      </w:r>
      <w:r w:rsidR="00BA1CDB">
        <w:rPr>
          <w:sz w:val="24"/>
          <w:szCs w:val="24"/>
        </w:rPr>
        <w:t>E</w:t>
      </w:r>
      <w:r w:rsidRPr="00F22E0B">
        <w:rPr>
          <w:sz w:val="24"/>
          <w:szCs w:val="24"/>
        </w:rPr>
        <w:t xml:space="preserve">ducation </w:t>
      </w:r>
      <w:r w:rsidR="00517F42">
        <w:rPr>
          <w:sz w:val="24"/>
          <w:szCs w:val="24"/>
        </w:rPr>
        <w:t xml:space="preserve">(HE) </w:t>
      </w:r>
      <w:r w:rsidRPr="00F22E0B">
        <w:rPr>
          <w:sz w:val="24"/>
          <w:szCs w:val="24"/>
        </w:rPr>
        <w:t xml:space="preserve">sector, widely recognised for its quality </w:t>
      </w:r>
      <w:r w:rsidR="00517F42">
        <w:rPr>
          <w:sz w:val="24"/>
          <w:szCs w:val="24"/>
        </w:rPr>
        <w:t>of</w:t>
      </w:r>
      <w:r w:rsidR="00517F42" w:rsidRPr="00F22E0B">
        <w:rPr>
          <w:sz w:val="24"/>
          <w:szCs w:val="24"/>
        </w:rPr>
        <w:t xml:space="preserve"> </w:t>
      </w:r>
      <w:r w:rsidRPr="00F22E0B">
        <w:rPr>
          <w:sz w:val="24"/>
          <w:szCs w:val="24"/>
        </w:rPr>
        <w:t>teaching</w:t>
      </w:r>
      <w:r w:rsidR="00517F42">
        <w:rPr>
          <w:sz w:val="24"/>
          <w:szCs w:val="24"/>
        </w:rPr>
        <w:t xml:space="preserve"> and</w:t>
      </w:r>
      <w:r w:rsidRPr="00F22E0B">
        <w:rPr>
          <w:sz w:val="24"/>
          <w:szCs w:val="24"/>
        </w:rPr>
        <w:t xml:space="preserve"> research and its capacity to innovate. As such</w:t>
      </w:r>
      <w:r w:rsidR="0090613B">
        <w:rPr>
          <w:sz w:val="24"/>
          <w:szCs w:val="24"/>
        </w:rPr>
        <w:t>,</w:t>
      </w:r>
      <w:r w:rsidRPr="00F22E0B">
        <w:rPr>
          <w:sz w:val="24"/>
          <w:szCs w:val="24"/>
        </w:rPr>
        <w:t xml:space="preserve"> </w:t>
      </w:r>
      <w:r w:rsidR="00517F42">
        <w:rPr>
          <w:sz w:val="24"/>
          <w:szCs w:val="24"/>
        </w:rPr>
        <w:t>the</w:t>
      </w:r>
      <w:r w:rsidR="00517F42" w:rsidRPr="00F22E0B">
        <w:rPr>
          <w:sz w:val="24"/>
          <w:szCs w:val="24"/>
        </w:rPr>
        <w:t xml:space="preserve"> </w:t>
      </w:r>
      <w:r w:rsidRPr="00F22E0B">
        <w:rPr>
          <w:sz w:val="24"/>
          <w:szCs w:val="24"/>
        </w:rPr>
        <w:t xml:space="preserve">University </w:t>
      </w:r>
      <w:r w:rsidR="00AD0F94" w:rsidRPr="00F22E0B">
        <w:rPr>
          <w:sz w:val="24"/>
          <w:szCs w:val="24"/>
        </w:rPr>
        <w:t>operate</w:t>
      </w:r>
      <w:r w:rsidR="00AD0F94">
        <w:rPr>
          <w:sz w:val="24"/>
          <w:szCs w:val="24"/>
        </w:rPr>
        <w:t>s</w:t>
      </w:r>
      <w:r w:rsidR="00AD0F94" w:rsidRPr="00F22E0B">
        <w:rPr>
          <w:sz w:val="24"/>
          <w:szCs w:val="24"/>
        </w:rPr>
        <w:t xml:space="preserve"> in</w:t>
      </w:r>
      <w:r w:rsidRPr="00F22E0B">
        <w:rPr>
          <w:sz w:val="24"/>
          <w:szCs w:val="24"/>
        </w:rPr>
        <w:t xml:space="preserve"> a highly competitive market for staff, students, research funding and investment.  </w:t>
      </w:r>
    </w:p>
    <w:p w14:paraId="34EAB860" w14:textId="05392C1D" w:rsidR="00F22E0B" w:rsidRPr="00F22E0B" w:rsidRDefault="00F22E0B" w:rsidP="00AC6B5B">
      <w:pPr>
        <w:spacing w:line="240" w:lineRule="auto"/>
        <w:rPr>
          <w:sz w:val="24"/>
          <w:szCs w:val="24"/>
        </w:rPr>
      </w:pPr>
      <w:r w:rsidRPr="00F22E0B">
        <w:rPr>
          <w:sz w:val="24"/>
          <w:szCs w:val="24"/>
        </w:rPr>
        <w:t xml:space="preserve">The leaders of </w:t>
      </w:r>
      <w:r w:rsidR="00517F42">
        <w:rPr>
          <w:sz w:val="24"/>
          <w:szCs w:val="24"/>
        </w:rPr>
        <w:t>Higher Education Institutions (</w:t>
      </w:r>
      <w:r w:rsidRPr="00F22E0B">
        <w:rPr>
          <w:sz w:val="24"/>
          <w:szCs w:val="24"/>
        </w:rPr>
        <w:t>HEIs</w:t>
      </w:r>
      <w:r w:rsidR="00517F42">
        <w:rPr>
          <w:sz w:val="24"/>
          <w:szCs w:val="24"/>
        </w:rPr>
        <w:t>)</w:t>
      </w:r>
      <w:r w:rsidRPr="00F22E0B">
        <w:rPr>
          <w:sz w:val="24"/>
          <w:szCs w:val="24"/>
        </w:rPr>
        <w:t xml:space="preserve"> are responsible for large and complex </w:t>
      </w:r>
      <w:r w:rsidR="00517F42">
        <w:rPr>
          <w:sz w:val="24"/>
          <w:szCs w:val="24"/>
        </w:rPr>
        <w:t>organisations,</w:t>
      </w:r>
      <w:r w:rsidR="00517F42" w:rsidRPr="00F22E0B">
        <w:rPr>
          <w:sz w:val="24"/>
          <w:szCs w:val="24"/>
        </w:rPr>
        <w:t xml:space="preserve"> </w:t>
      </w:r>
      <w:r w:rsidRPr="00F22E0B">
        <w:rPr>
          <w:sz w:val="24"/>
          <w:szCs w:val="24"/>
        </w:rPr>
        <w:t>with diverse missions</w:t>
      </w:r>
      <w:r w:rsidR="00517F42">
        <w:rPr>
          <w:sz w:val="24"/>
          <w:szCs w:val="24"/>
        </w:rPr>
        <w:t>,</w:t>
      </w:r>
      <w:r w:rsidRPr="00F22E0B">
        <w:rPr>
          <w:sz w:val="24"/>
          <w:szCs w:val="24"/>
        </w:rPr>
        <w:t xml:space="preserve"> </w:t>
      </w:r>
      <w:r w:rsidR="00517F42">
        <w:rPr>
          <w:sz w:val="24"/>
          <w:szCs w:val="24"/>
        </w:rPr>
        <w:t>operating</w:t>
      </w:r>
      <w:r w:rsidRPr="00F22E0B">
        <w:rPr>
          <w:sz w:val="24"/>
          <w:szCs w:val="24"/>
        </w:rPr>
        <w:t xml:space="preserve"> in a range of differing markets. The decisions they take affect the financial performance of those institutions which</w:t>
      </w:r>
      <w:r w:rsidR="00517F42">
        <w:rPr>
          <w:sz w:val="24"/>
          <w:szCs w:val="24"/>
        </w:rPr>
        <w:t>,</w:t>
      </w:r>
      <w:r w:rsidRPr="00F22E0B">
        <w:rPr>
          <w:sz w:val="24"/>
          <w:szCs w:val="24"/>
        </w:rPr>
        <w:t xml:space="preserve"> in many cases</w:t>
      </w:r>
      <w:r w:rsidR="00517F42">
        <w:rPr>
          <w:sz w:val="24"/>
          <w:szCs w:val="24"/>
        </w:rPr>
        <w:t>,</w:t>
      </w:r>
      <w:r w:rsidRPr="00F22E0B">
        <w:rPr>
          <w:sz w:val="24"/>
          <w:szCs w:val="24"/>
        </w:rPr>
        <w:t xml:space="preserve"> employ thousands of people and are critical to the</w:t>
      </w:r>
      <w:r w:rsidR="00D076B8">
        <w:rPr>
          <w:sz w:val="24"/>
          <w:szCs w:val="24"/>
        </w:rPr>
        <w:t xml:space="preserve"> </w:t>
      </w:r>
      <w:r w:rsidR="006F34CE">
        <w:rPr>
          <w:sz w:val="24"/>
          <w:szCs w:val="24"/>
        </w:rPr>
        <w:t xml:space="preserve">sustainability, </w:t>
      </w:r>
      <w:r w:rsidR="006F34CE" w:rsidRPr="00F22E0B">
        <w:rPr>
          <w:sz w:val="24"/>
          <w:szCs w:val="24"/>
        </w:rPr>
        <w:t>health</w:t>
      </w:r>
      <w:r w:rsidRPr="00F22E0B">
        <w:rPr>
          <w:sz w:val="24"/>
          <w:szCs w:val="24"/>
        </w:rPr>
        <w:t xml:space="preserve"> and wellbeing of the regional communities and economies in which they are located. </w:t>
      </w:r>
      <w:r w:rsidR="00D67FED">
        <w:rPr>
          <w:sz w:val="24"/>
          <w:szCs w:val="24"/>
        </w:rPr>
        <w:t>With o</w:t>
      </w:r>
      <w:r w:rsidRPr="00F22E0B">
        <w:rPr>
          <w:sz w:val="24"/>
          <w:szCs w:val="24"/>
        </w:rPr>
        <w:t xml:space="preserve">nly a proportion of </w:t>
      </w:r>
      <w:r w:rsidR="00D67FED">
        <w:rPr>
          <w:sz w:val="24"/>
          <w:szCs w:val="24"/>
        </w:rPr>
        <w:t>total income</w:t>
      </w:r>
      <w:r w:rsidRPr="00F22E0B">
        <w:rPr>
          <w:sz w:val="24"/>
          <w:szCs w:val="24"/>
        </w:rPr>
        <w:t xml:space="preserve"> </w:t>
      </w:r>
      <w:r w:rsidR="00D67FED">
        <w:rPr>
          <w:sz w:val="24"/>
          <w:szCs w:val="24"/>
        </w:rPr>
        <w:t>awarded from</w:t>
      </w:r>
      <w:r w:rsidRPr="00F22E0B">
        <w:rPr>
          <w:sz w:val="24"/>
          <w:szCs w:val="24"/>
        </w:rPr>
        <w:t xml:space="preserve"> core public funding, Vice-Chancellors and their senior teams</w:t>
      </w:r>
      <w:r w:rsidR="00D67FED">
        <w:rPr>
          <w:sz w:val="24"/>
          <w:szCs w:val="24"/>
        </w:rPr>
        <w:t xml:space="preserve"> </w:t>
      </w:r>
      <w:r w:rsidR="00DD6EB9">
        <w:rPr>
          <w:sz w:val="24"/>
          <w:szCs w:val="24"/>
        </w:rPr>
        <w:t>are increasingly required to</w:t>
      </w:r>
      <w:r w:rsidR="00DD6EB9" w:rsidRPr="00F22E0B">
        <w:rPr>
          <w:sz w:val="24"/>
          <w:szCs w:val="24"/>
        </w:rPr>
        <w:t xml:space="preserve"> </w:t>
      </w:r>
      <w:r w:rsidRPr="00F22E0B">
        <w:rPr>
          <w:sz w:val="24"/>
          <w:szCs w:val="24"/>
        </w:rPr>
        <w:t xml:space="preserve">act entrepreneurially to ensure that their institutions raise </w:t>
      </w:r>
      <w:r w:rsidR="008D11ED">
        <w:rPr>
          <w:sz w:val="24"/>
          <w:szCs w:val="24"/>
        </w:rPr>
        <w:t>sufficient</w:t>
      </w:r>
      <w:r w:rsidR="008D11ED" w:rsidRPr="00F22E0B">
        <w:rPr>
          <w:sz w:val="24"/>
          <w:szCs w:val="24"/>
        </w:rPr>
        <w:t xml:space="preserve"> </w:t>
      </w:r>
      <w:r w:rsidRPr="00F22E0B">
        <w:rPr>
          <w:sz w:val="24"/>
          <w:szCs w:val="24"/>
        </w:rPr>
        <w:t xml:space="preserve">revenue, while </w:t>
      </w:r>
      <w:r w:rsidR="00D67FED">
        <w:rPr>
          <w:sz w:val="24"/>
          <w:szCs w:val="24"/>
        </w:rPr>
        <w:t xml:space="preserve">successfully </w:t>
      </w:r>
      <w:r w:rsidRPr="00F22E0B">
        <w:rPr>
          <w:sz w:val="24"/>
          <w:szCs w:val="24"/>
        </w:rPr>
        <w:t>nurturing their key missions of teaching, research and knowledge exchange</w:t>
      </w:r>
      <w:r w:rsidR="008E5D97">
        <w:rPr>
          <w:sz w:val="24"/>
          <w:szCs w:val="24"/>
        </w:rPr>
        <w:t>,</w:t>
      </w:r>
      <w:r w:rsidRPr="00F22E0B">
        <w:rPr>
          <w:sz w:val="24"/>
          <w:szCs w:val="24"/>
        </w:rPr>
        <w:t xml:space="preserve"> in an </w:t>
      </w:r>
      <w:r w:rsidR="008E5D97">
        <w:rPr>
          <w:sz w:val="24"/>
          <w:szCs w:val="24"/>
        </w:rPr>
        <w:t>increasingly</w:t>
      </w:r>
      <w:r w:rsidR="008E5D97" w:rsidRPr="00F22E0B">
        <w:rPr>
          <w:sz w:val="24"/>
          <w:szCs w:val="24"/>
        </w:rPr>
        <w:t xml:space="preserve"> </w:t>
      </w:r>
      <w:r w:rsidR="008E5D97">
        <w:rPr>
          <w:sz w:val="24"/>
          <w:szCs w:val="24"/>
        </w:rPr>
        <w:t>challenging</w:t>
      </w:r>
      <w:r w:rsidR="005C42FB">
        <w:rPr>
          <w:sz w:val="24"/>
          <w:szCs w:val="24"/>
        </w:rPr>
        <w:t xml:space="preserve"> financial</w:t>
      </w:r>
      <w:r w:rsidRPr="00F22E0B">
        <w:rPr>
          <w:sz w:val="24"/>
          <w:szCs w:val="24"/>
        </w:rPr>
        <w:t xml:space="preserve"> context.</w:t>
      </w:r>
      <w:r w:rsidR="0043094B" w:rsidRPr="0043094B">
        <w:rPr>
          <w:sz w:val="24"/>
          <w:szCs w:val="24"/>
        </w:rPr>
        <w:t xml:space="preserve"> </w:t>
      </w:r>
    </w:p>
    <w:p w14:paraId="2BB014DE" w14:textId="745E562D" w:rsidR="00F22E0B" w:rsidRDefault="0030337D" w:rsidP="00AC6B5B">
      <w:pPr>
        <w:spacing w:line="240" w:lineRule="auto"/>
        <w:rPr>
          <w:sz w:val="24"/>
          <w:szCs w:val="24"/>
        </w:rPr>
      </w:pPr>
      <w:r>
        <w:rPr>
          <w:sz w:val="24"/>
          <w:szCs w:val="24"/>
        </w:rPr>
        <w:t>P</w:t>
      </w:r>
      <w:r w:rsidR="006A45B8">
        <w:rPr>
          <w:sz w:val="24"/>
          <w:szCs w:val="24"/>
        </w:rPr>
        <w:t xml:space="preserve">eople </w:t>
      </w:r>
      <w:r w:rsidR="00F96A16">
        <w:rPr>
          <w:sz w:val="24"/>
          <w:szCs w:val="24"/>
        </w:rPr>
        <w:t xml:space="preserve">are </w:t>
      </w:r>
      <w:r w:rsidR="006A45B8">
        <w:rPr>
          <w:sz w:val="24"/>
          <w:szCs w:val="24"/>
        </w:rPr>
        <w:t xml:space="preserve">fundamental </w:t>
      </w:r>
      <w:r>
        <w:rPr>
          <w:sz w:val="24"/>
          <w:szCs w:val="24"/>
        </w:rPr>
        <w:t>to</w:t>
      </w:r>
      <w:r w:rsidR="006A45B8">
        <w:rPr>
          <w:sz w:val="24"/>
          <w:szCs w:val="24"/>
        </w:rPr>
        <w:t xml:space="preserve"> Institutional success and </w:t>
      </w:r>
      <w:r w:rsidR="00F96A16">
        <w:rPr>
          <w:sz w:val="24"/>
          <w:szCs w:val="24"/>
        </w:rPr>
        <w:t xml:space="preserve">remuneration decisions must reflect this. Decisions </w:t>
      </w:r>
      <w:r w:rsidR="006A45B8">
        <w:rPr>
          <w:sz w:val="24"/>
          <w:szCs w:val="24"/>
        </w:rPr>
        <w:t xml:space="preserve">must </w:t>
      </w:r>
      <w:r w:rsidR="00F96A16">
        <w:rPr>
          <w:sz w:val="24"/>
          <w:szCs w:val="24"/>
        </w:rPr>
        <w:t xml:space="preserve">also </w:t>
      </w:r>
      <w:r w:rsidR="006A45B8">
        <w:rPr>
          <w:sz w:val="24"/>
          <w:szCs w:val="24"/>
        </w:rPr>
        <w:t xml:space="preserve">be balanced against accountability for the </w:t>
      </w:r>
      <w:r w:rsidR="00F22E0B" w:rsidRPr="00F22E0B">
        <w:rPr>
          <w:sz w:val="24"/>
          <w:szCs w:val="24"/>
        </w:rPr>
        <w:t xml:space="preserve">public funding </w:t>
      </w:r>
      <w:r w:rsidR="00F96A16">
        <w:rPr>
          <w:sz w:val="24"/>
          <w:szCs w:val="24"/>
        </w:rPr>
        <w:t>the University</w:t>
      </w:r>
      <w:r w:rsidR="006A45B8">
        <w:rPr>
          <w:sz w:val="24"/>
          <w:szCs w:val="24"/>
        </w:rPr>
        <w:t xml:space="preserve"> receives</w:t>
      </w:r>
      <w:r w:rsidR="00183D68">
        <w:rPr>
          <w:sz w:val="24"/>
          <w:szCs w:val="24"/>
        </w:rPr>
        <w:t>, value for money</w:t>
      </w:r>
      <w:r w:rsidR="006A45B8">
        <w:rPr>
          <w:sz w:val="24"/>
          <w:szCs w:val="24"/>
        </w:rPr>
        <w:t xml:space="preserve"> and</w:t>
      </w:r>
      <w:r w:rsidR="00F96A16">
        <w:rPr>
          <w:sz w:val="24"/>
          <w:szCs w:val="24"/>
        </w:rPr>
        <w:t xml:space="preserve"> </w:t>
      </w:r>
      <w:r w:rsidR="006A45B8">
        <w:rPr>
          <w:sz w:val="24"/>
          <w:szCs w:val="24"/>
        </w:rPr>
        <w:t>financial sustainability</w:t>
      </w:r>
      <w:r w:rsidR="006A0276">
        <w:rPr>
          <w:sz w:val="24"/>
          <w:szCs w:val="24"/>
        </w:rPr>
        <w:t xml:space="preserve">, together with wider implications </w:t>
      </w:r>
      <w:r w:rsidR="00EC285E">
        <w:rPr>
          <w:sz w:val="24"/>
          <w:szCs w:val="24"/>
        </w:rPr>
        <w:t>including affordability</w:t>
      </w:r>
      <w:r w:rsidR="006A0276" w:rsidRPr="006A0276">
        <w:rPr>
          <w:sz w:val="24"/>
          <w:szCs w:val="24"/>
        </w:rPr>
        <w:t>, employee relations/staff morale and stakeholder confidence</w:t>
      </w:r>
      <w:r w:rsidR="00F96A16">
        <w:rPr>
          <w:sz w:val="24"/>
          <w:szCs w:val="24"/>
        </w:rPr>
        <w:t>.</w:t>
      </w:r>
    </w:p>
    <w:p w14:paraId="4ABED5F9" w14:textId="7967E086" w:rsidR="001F4FEE" w:rsidRPr="001F4FEE" w:rsidRDefault="00F22E0B" w:rsidP="00AC6B5B">
      <w:pPr>
        <w:pStyle w:val="ListParagraph"/>
        <w:numPr>
          <w:ilvl w:val="0"/>
          <w:numId w:val="7"/>
        </w:numPr>
        <w:spacing w:before="120" w:after="120" w:line="240" w:lineRule="auto"/>
        <w:jc w:val="both"/>
        <w:rPr>
          <w:rFonts w:cstheme="minorHAnsi"/>
          <w:sz w:val="24"/>
          <w:szCs w:val="24"/>
        </w:rPr>
      </w:pPr>
      <w:bookmarkStart w:id="1" w:name="_Hlk115797567"/>
      <w:r w:rsidRPr="00183D68">
        <w:rPr>
          <w:rFonts w:cstheme="minorHAnsi"/>
          <w:b/>
          <w:bCs/>
          <w:sz w:val="24"/>
          <w:szCs w:val="24"/>
        </w:rPr>
        <w:t xml:space="preserve">Principles underpinning </w:t>
      </w:r>
      <w:r w:rsidR="00584C80" w:rsidRPr="00183D68">
        <w:rPr>
          <w:rFonts w:cstheme="minorHAnsi"/>
          <w:b/>
          <w:bCs/>
          <w:sz w:val="24"/>
          <w:szCs w:val="24"/>
        </w:rPr>
        <w:t>Senior Remuneration</w:t>
      </w:r>
      <w:r w:rsidRPr="00183D68">
        <w:rPr>
          <w:rFonts w:cstheme="minorHAnsi"/>
          <w:b/>
          <w:bCs/>
          <w:sz w:val="24"/>
          <w:szCs w:val="24"/>
        </w:rPr>
        <w:t xml:space="preserve"> for Board Appointments and Members of the </w:t>
      </w:r>
      <w:r w:rsidR="00E345F2" w:rsidRPr="00183D68">
        <w:rPr>
          <w:rFonts w:cstheme="minorHAnsi"/>
          <w:b/>
          <w:bCs/>
          <w:sz w:val="24"/>
          <w:szCs w:val="24"/>
        </w:rPr>
        <w:t>University Executive Board (UEB)</w:t>
      </w:r>
    </w:p>
    <w:p w14:paraId="0675BF58" w14:textId="035F761B" w:rsidR="00F22E0B" w:rsidRPr="001F4FEE" w:rsidRDefault="00F22E0B" w:rsidP="00AC6B5B">
      <w:pPr>
        <w:spacing w:before="120" w:after="120" w:line="240" w:lineRule="auto"/>
        <w:jc w:val="both"/>
        <w:rPr>
          <w:rFonts w:cstheme="minorHAnsi"/>
          <w:sz w:val="24"/>
          <w:szCs w:val="24"/>
        </w:rPr>
      </w:pPr>
      <w:r w:rsidRPr="001F4FEE">
        <w:rPr>
          <w:rFonts w:cstheme="minorHAnsi"/>
          <w:sz w:val="24"/>
          <w:szCs w:val="24"/>
        </w:rPr>
        <w:t>In addition to the</w:t>
      </w:r>
      <w:r w:rsidR="001011A9" w:rsidRPr="001F4FEE">
        <w:rPr>
          <w:rFonts w:cstheme="minorHAnsi"/>
          <w:sz w:val="24"/>
          <w:szCs w:val="24"/>
        </w:rPr>
        <w:t xml:space="preserve"> three</w:t>
      </w:r>
      <w:r w:rsidRPr="001F4FEE">
        <w:rPr>
          <w:rFonts w:cstheme="minorHAnsi"/>
          <w:sz w:val="24"/>
          <w:szCs w:val="24"/>
        </w:rPr>
        <w:t xml:space="preserve"> key principles outlined in the Code the following are applied:</w:t>
      </w:r>
    </w:p>
    <w:p w14:paraId="6E3A3B94" w14:textId="77777777" w:rsidR="00F22E0B" w:rsidRPr="00F22E0B" w:rsidRDefault="00F22E0B" w:rsidP="00AC6B5B">
      <w:pPr>
        <w:pStyle w:val="ListParagraph"/>
        <w:numPr>
          <w:ilvl w:val="0"/>
          <w:numId w:val="5"/>
        </w:numPr>
        <w:spacing w:after="0" w:line="240" w:lineRule="auto"/>
        <w:rPr>
          <w:sz w:val="24"/>
          <w:szCs w:val="24"/>
        </w:rPr>
      </w:pPr>
      <w:r w:rsidRPr="00F22E0B">
        <w:rPr>
          <w:sz w:val="24"/>
          <w:szCs w:val="24"/>
        </w:rPr>
        <w:t>Levels of remuneration should be sufficiently flexible to attract, retain and motivate senior post holders of the quality required to lead within the University.</w:t>
      </w:r>
    </w:p>
    <w:p w14:paraId="1E34F2AE" w14:textId="465E6AF9" w:rsidR="00183D68" w:rsidRPr="00F22E0B" w:rsidRDefault="00183D68" w:rsidP="00AC6B5B">
      <w:pPr>
        <w:pStyle w:val="ListParagraph"/>
        <w:numPr>
          <w:ilvl w:val="0"/>
          <w:numId w:val="5"/>
        </w:numPr>
        <w:spacing w:after="0" w:line="240" w:lineRule="auto"/>
        <w:rPr>
          <w:sz w:val="24"/>
          <w:szCs w:val="24"/>
        </w:rPr>
      </w:pPr>
      <w:r w:rsidRPr="00D076B8">
        <w:rPr>
          <w:sz w:val="24"/>
          <w:szCs w:val="24"/>
        </w:rPr>
        <w:t xml:space="preserve">Remuneration decisions will be cognisant of </w:t>
      </w:r>
      <w:r w:rsidR="00DD4EAD">
        <w:rPr>
          <w:sz w:val="24"/>
          <w:szCs w:val="24"/>
        </w:rPr>
        <w:t xml:space="preserve">equity, </w:t>
      </w:r>
      <w:r w:rsidRPr="00D076B8">
        <w:rPr>
          <w:sz w:val="24"/>
          <w:szCs w:val="24"/>
        </w:rPr>
        <w:t xml:space="preserve">equality, diversity and inclusion </w:t>
      </w:r>
      <w:r w:rsidR="00DD4EAD">
        <w:rPr>
          <w:sz w:val="24"/>
          <w:szCs w:val="24"/>
        </w:rPr>
        <w:t xml:space="preserve">(EEDI) </w:t>
      </w:r>
      <w:r w:rsidRPr="00D076B8">
        <w:rPr>
          <w:sz w:val="24"/>
          <w:szCs w:val="24"/>
        </w:rPr>
        <w:t>considerations.</w:t>
      </w:r>
    </w:p>
    <w:p w14:paraId="3AC40C50" w14:textId="0346D4C8" w:rsidR="00F22E0B" w:rsidRDefault="00F22E0B" w:rsidP="00AC6B5B">
      <w:pPr>
        <w:pStyle w:val="ListParagraph"/>
        <w:numPr>
          <w:ilvl w:val="0"/>
          <w:numId w:val="5"/>
        </w:numPr>
        <w:spacing w:line="240" w:lineRule="auto"/>
        <w:rPr>
          <w:sz w:val="24"/>
          <w:szCs w:val="24"/>
        </w:rPr>
      </w:pPr>
      <w:r w:rsidRPr="75662EB0">
        <w:rPr>
          <w:sz w:val="24"/>
          <w:szCs w:val="24"/>
        </w:rPr>
        <w:t xml:space="preserve">All variable remuneration increases should be linked to </w:t>
      </w:r>
      <w:proofErr w:type="gramStart"/>
      <w:r w:rsidRPr="75662EB0">
        <w:rPr>
          <w:sz w:val="24"/>
          <w:szCs w:val="24"/>
        </w:rPr>
        <w:t>University</w:t>
      </w:r>
      <w:proofErr w:type="gramEnd"/>
      <w:r w:rsidRPr="75662EB0">
        <w:rPr>
          <w:sz w:val="24"/>
          <w:szCs w:val="24"/>
        </w:rPr>
        <w:t xml:space="preserve"> and individual </w:t>
      </w:r>
      <w:r w:rsidR="67554F82" w:rsidRPr="75662EB0">
        <w:rPr>
          <w:sz w:val="24"/>
          <w:szCs w:val="24"/>
        </w:rPr>
        <w:t>performance and</w:t>
      </w:r>
      <w:r w:rsidRPr="75662EB0">
        <w:rPr>
          <w:sz w:val="24"/>
          <w:szCs w:val="24"/>
        </w:rPr>
        <w:t xml:space="preserve"> awarded to recognise performance consistent with institutional objectives.</w:t>
      </w:r>
    </w:p>
    <w:p w14:paraId="0E191E4D" w14:textId="03EAD9D2" w:rsidR="00F22E0B" w:rsidRDefault="00F22E0B" w:rsidP="00AC6B5B">
      <w:pPr>
        <w:spacing w:line="240" w:lineRule="auto"/>
        <w:rPr>
          <w:rFonts w:cstheme="minorHAnsi"/>
          <w:sz w:val="24"/>
          <w:szCs w:val="24"/>
        </w:rPr>
      </w:pPr>
      <w:r w:rsidRPr="00F22E0B">
        <w:rPr>
          <w:rFonts w:cstheme="minorHAnsi"/>
          <w:sz w:val="24"/>
          <w:szCs w:val="24"/>
        </w:rPr>
        <w:lastRenderedPageBreak/>
        <w:t xml:space="preserve">In </w:t>
      </w:r>
      <w:r w:rsidRPr="00F22E0B">
        <w:rPr>
          <w:sz w:val="24"/>
          <w:szCs w:val="24"/>
        </w:rPr>
        <w:t>addition, decisions on senior remuneration should be in accordance with the Nolan Principles of selflessness, integrity, objectivity, accountability, openness, honesty and leadership as well as being free from unfair bias and discrimination.</w:t>
      </w:r>
      <w:r w:rsidRPr="00F22E0B">
        <w:rPr>
          <w:rFonts w:cstheme="minorHAnsi"/>
          <w:sz w:val="24"/>
          <w:szCs w:val="24"/>
        </w:rPr>
        <w:t xml:space="preserve"> </w:t>
      </w:r>
    </w:p>
    <w:p w14:paraId="74AC1D27" w14:textId="4DCFD3D2" w:rsidR="00F22E0B" w:rsidRPr="00F22E0B" w:rsidRDefault="00F22E0B" w:rsidP="00AC6B5B">
      <w:pPr>
        <w:pStyle w:val="ListParagraph"/>
        <w:numPr>
          <w:ilvl w:val="0"/>
          <w:numId w:val="7"/>
        </w:numPr>
        <w:spacing w:before="120" w:after="120" w:line="240" w:lineRule="auto"/>
        <w:jc w:val="both"/>
        <w:rPr>
          <w:rFonts w:cstheme="minorHAnsi"/>
          <w:b/>
          <w:bCs/>
          <w:sz w:val="24"/>
          <w:szCs w:val="24"/>
        </w:rPr>
      </w:pPr>
      <w:r w:rsidRPr="00F22E0B">
        <w:rPr>
          <w:rFonts w:cstheme="minorHAnsi"/>
          <w:b/>
          <w:bCs/>
          <w:sz w:val="24"/>
          <w:szCs w:val="24"/>
        </w:rPr>
        <w:t>Remuneration Framework for Senior Staff</w:t>
      </w:r>
      <w:r w:rsidR="00ED7FC9">
        <w:rPr>
          <w:rFonts w:cstheme="minorHAnsi"/>
          <w:b/>
          <w:bCs/>
          <w:sz w:val="24"/>
          <w:szCs w:val="24"/>
        </w:rPr>
        <w:t xml:space="preserve"> (UEB and Board Appointments)</w:t>
      </w:r>
    </w:p>
    <w:p w14:paraId="09E74F51" w14:textId="2EF89B71" w:rsidR="00F22E0B" w:rsidRDefault="001F04D1" w:rsidP="00AC6B5B">
      <w:pPr>
        <w:spacing w:line="240" w:lineRule="auto"/>
        <w:rPr>
          <w:sz w:val="24"/>
          <w:szCs w:val="24"/>
        </w:rPr>
      </w:pPr>
      <w:r w:rsidRPr="255E6C71">
        <w:rPr>
          <w:sz w:val="24"/>
          <w:szCs w:val="24"/>
        </w:rPr>
        <w:t>Any</w:t>
      </w:r>
      <w:r w:rsidR="00F22E0B" w:rsidRPr="255E6C71">
        <w:rPr>
          <w:sz w:val="24"/>
          <w:szCs w:val="24"/>
        </w:rPr>
        <w:t xml:space="preserve"> new roles or significant changes to existing roles </w:t>
      </w:r>
      <w:r w:rsidRPr="255E6C71">
        <w:rPr>
          <w:sz w:val="24"/>
          <w:szCs w:val="24"/>
        </w:rPr>
        <w:t>are</w:t>
      </w:r>
      <w:r w:rsidR="00F22E0B" w:rsidRPr="255E6C71">
        <w:rPr>
          <w:sz w:val="24"/>
          <w:szCs w:val="24"/>
        </w:rPr>
        <w:t xml:space="preserve"> evaluated to ensure transparency and equal pay for work of equal value, irrespective of gender or other protected characteristics.  Roles </w:t>
      </w:r>
      <w:r w:rsidRPr="255E6C71">
        <w:rPr>
          <w:sz w:val="24"/>
          <w:szCs w:val="24"/>
        </w:rPr>
        <w:t>are</w:t>
      </w:r>
      <w:r w:rsidR="00F22E0B" w:rsidRPr="255E6C71">
        <w:rPr>
          <w:sz w:val="24"/>
          <w:szCs w:val="24"/>
        </w:rPr>
        <w:t xml:space="preserve"> allocated to bandings within the senior pay structure based on the evaluated scoring. </w:t>
      </w:r>
      <w:r w:rsidR="00F22E0B" w:rsidRPr="003322A7">
        <w:rPr>
          <w:sz w:val="24"/>
          <w:szCs w:val="24"/>
        </w:rPr>
        <w:t xml:space="preserve">In addition, all </w:t>
      </w:r>
      <w:r w:rsidR="00201CFB" w:rsidRPr="003322A7">
        <w:rPr>
          <w:sz w:val="24"/>
          <w:szCs w:val="24"/>
        </w:rPr>
        <w:t>Board Appointment/</w:t>
      </w:r>
      <w:r w:rsidR="00E271DE" w:rsidRPr="003322A7">
        <w:rPr>
          <w:sz w:val="24"/>
          <w:szCs w:val="24"/>
        </w:rPr>
        <w:t>UE</w:t>
      </w:r>
      <w:r w:rsidR="00365DAB" w:rsidRPr="003322A7">
        <w:rPr>
          <w:sz w:val="24"/>
          <w:szCs w:val="24"/>
        </w:rPr>
        <w:t xml:space="preserve">B </w:t>
      </w:r>
      <w:r w:rsidR="00F22E0B" w:rsidRPr="003322A7">
        <w:rPr>
          <w:sz w:val="24"/>
          <w:szCs w:val="24"/>
        </w:rPr>
        <w:t xml:space="preserve">roles are re-evaluated every three years using external </w:t>
      </w:r>
      <w:r w:rsidR="1BD4E764" w:rsidRPr="003322A7">
        <w:rPr>
          <w:sz w:val="24"/>
          <w:szCs w:val="24"/>
        </w:rPr>
        <w:t>consultants,</w:t>
      </w:r>
      <w:r w:rsidR="00F22E0B" w:rsidRPr="255E6C71">
        <w:rPr>
          <w:sz w:val="24"/>
          <w:szCs w:val="24"/>
        </w:rPr>
        <w:t xml:space="preserve"> and the outcomes considered by the Remuneration Committee</w:t>
      </w:r>
      <w:r w:rsidR="0030337D" w:rsidRPr="255E6C71">
        <w:rPr>
          <w:sz w:val="24"/>
          <w:szCs w:val="24"/>
        </w:rPr>
        <w:t xml:space="preserve"> (</w:t>
      </w:r>
      <w:r w:rsidR="00120E47" w:rsidRPr="255E6C71">
        <w:rPr>
          <w:sz w:val="24"/>
          <w:szCs w:val="24"/>
        </w:rPr>
        <w:t>most recently in January 2024</w:t>
      </w:r>
      <w:r w:rsidR="00F22E0B" w:rsidRPr="255E6C71">
        <w:rPr>
          <w:sz w:val="24"/>
          <w:szCs w:val="24"/>
        </w:rPr>
        <w:t xml:space="preserve">). The value of all </w:t>
      </w:r>
      <w:r w:rsidR="00365DAB" w:rsidRPr="255E6C71">
        <w:rPr>
          <w:sz w:val="24"/>
          <w:szCs w:val="24"/>
        </w:rPr>
        <w:t xml:space="preserve">UEB </w:t>
      </w:r>
      <w:r w:rsidR="00F22E0B" w:rsidRPr="255E6C71">
        <w:rPr>
          <w:sz w:val="24"/>
          <w:szCs w:val="24"/>
        </w:rPr>
        <w:t xml:space="preserve">and </w:t>
      </w:r>
      <w:r w:rsidR="00994B91" w:rsidRPr="255E6C71">
        <w:rPr>
          <w:sz w:val="24"/>
          <w:szCs w:val="24"/>
        </w:rPr>
        <w:t>Senior Staff Grade (</w:t>
      </w:r>
      <w:r w:rsidR="00F22E0B" w:rsidRPr="255E6C71">
        <w:rPr>
          <w:sz w:val="24"/>
          <w:szCs w:val="24"/>
        </w:rPr>
        <w:t>SSG</w:t>
      </w:r>
      <w:r w:rsidR="00994B91" w:rsidRPr="255E6C71">
        <w:rPr>
          <w:sz w:val="24"/>
          <w:szCs w:val="24"/>
        </w:rPr>
        <w:t>)</w:t>
      </w:r>
      <w:r w:rsidR="00F22E0B" w:rsidRPr="255E6C71">
        <w:rPr>
          <w:sz w:val="24"/>
          <w:szCs w:val="24"/>
        </w:rPr>
        <w:t xml:space="preserve"> roles are assessed using </w:t>
      </w:r>
      <w:r w:rsidR="00872743" w:rsidRPr="255E6C71">
        <w:rPr>
          <w:sz w:val="24"/>
          <w:szCs w:val="24"/>
        </w:rPr>
        <w:t xml:space="preserve">the </w:t>
      </w:r>
      <w:r w:rsidR="00437C8E" w:rsidRPr="255E6C71">
        <w:rPr>
          <w:sz w:val="24"/>
          <w:szCs w:val="24"/>
        </w:rPr>
        <w:t>H</w:t>
      </w:r>
      <w:r w:rsidR="234061F6" w:rsidRPr="255E6C71">
        <w:rPr>
          <w:sz w:val="24"/>
          <w:szCs w:val="24"/>
        </w:rPr>
        <w:t>AY</w:t>
      </w:r>
      <w:r w:rsidR="00F22E0B" w:rsidRPr="255E6C71">
        <w:rPr>
          <w:sz w:val="24"/>
          <w:szCs w:val="24"/>
        </w:rPr>
        <w:t xml:space="preserve"> job evaluation</w:t>
      </w:r>
      <w:r w:rsidR="00872743" w:rsidRPr="255E6C71">
        <w:rPr>
          <w:sz w:val="24"/>
          <w:szCs w:val="24"/>
        </w:rPr>
        <w:t xml:space="preserve"> method</w:t>
      </w:r>
      <w:r w:rsidR="00F22E0B" w:rsidRPr="255E6C71">
        <w:rPr>
          <w:sz w:val="24"/>
          <w:szCs w:val="24"/>
        </w:rPr>
        <w:t xml:space="preserve">. </w:t>
      </w:r>
      <w:r w:rsidR="00994B91" w:rsidRPr="255E6C71">
        <w:rPr>
          <w:sz w:val="24"/>
          <w:szCs w:val="24"/>
        </w:rPr>
        <w:t xml:space="preserve">Outcomes </w:t>
      </w:r>
      <w:r w:rsidR="00F22E0B" w:rsidRPr="255E6C71">
        <w:rPr>
          <w:sz w:val="24"/>
          <w:szCs w:val="24"/>
        </w:rPr>
        <w:t>are then benchmarked against local, sector, national and international data as appropriate. Placement of individuals in the allocated banding for the role reflects their level of knowledge, skills and experience.</w:t>
      </w:r>
    </w:p>
    <w:bookmarkEnd w:id="1"/>
    <w:p w14:paraId="2000338F" w14:textId="77777777" w:rsidR="00F22E0B" w:rsidRPr="00F22E0B" w:rsidRDefault="00F22E0B" w:rsidP="00AC6B5B">
      <w:pPr>
        <w:pStyle w:val="ListParagraph"/>
        <w:numPr>
          <w:ilvl w:val="0"/>
          <w:numId w:val="7"/>
        </w:numPr>
        <w:spacing w:before="120" w:after="120" w:line="240" w:lineRule="auto"/>
        <w:jc w:val="both"/>
        <w:rPr>
          <w:b/>
          <w:sz w:val="24"/>
          <w:szCs w:val="24"/>
        </w:rPr>
      </w:pPr>
      <w:r w:rsidRPr="00F22E0B">
        <w:rPr>
          <w:b/>
          <w:bCs/>
          <w:sz w:val="24"/>
          <w:szCs w:val="24"/>
        </w:rPr>
        <w:t>Annual Pay Review Process</w:t>
      </w:r>
    </w:p>
    <w:p w14:paraId="42C6AD5F" w14:textId="5CFE9A0E" w:rsidR="00F22E0B" w:rsidRPr="005702E7" w:rsidRDefault="00CA0702" w:rsidP="00AC6B5B">
      <w:pPr>
        <w:spacing w:line="240" w:lineRule="auto"/>
        <w:contextualSpacing/>
        <w:rPr>
          <w:rFonts w:ascii="Calibri" w:eastAsia="Calibri" w:hAnsi="Calibri" w:cs="Calibri"/>
          <w:sz w:val="24"/>
          <w:szCs w:val="24"/>
        </w:rPr>
      </w:pPr>
      <w:r>
        <w:rPr>
          <w:sz w:val="24"/>
          <w:szCs w:val="24"/>
        </w:rPr>
        <w:t>Over t</w:t>
      </w:r>
      <w:r w:rsidR="0FC1C7F0" w:rsidRPr="75662EB0">
        <w:rPr>
          <w:sz w:val="24"/>
          <w:szCs w:val="24"/>
        </w:rPr>
        <w:t>he</w:t>
      </w:r>
      <w:r w:rsidR="00120E47" w:rsidRPr="75662EB0">
        <w:rPr>
          <w:sz w:val="24"/>
          <w:szCs w:val="24"/>
        </w:rPr>
        <w:t xml:space="preserve"> </w:t>
      </w:r>
      <w:r w:rsidR="001D5058" w:rsidRPr="75662EB0">
        <w:rPr>
          <w:sz w:val="24"/>
          <w:szCs w:val="24"/>
        </w:rPr>
        <w:t>202</w:t>
      </w:r>
      <w:r w:rsidR="001D5058">
        <w:rPr>
          <w:sz w:val="24"/>
          <w:szCs w:val="24"/>
        </w:rPr>
        <w:t>4</w:t>
      </w:r>
      <w:r w:rsidR="00120E47" w:rsidRPr="75662EB0">
        <w:rPr>
          <w:sz w:val="24"/>
          <w:szCs w:val="24"/>
        </w:rPr>
        <w:t>/</w:t>
      </w:r>
      <w:r w:rsidR="001D5058" w:rsidRPr="75662EB0">
        <w:rPr>
          <w:sz w:val="24"/>
          <w:szCs w:val="24"/>
        </w:rPr>
        <w:t>2</w:t>
      </w:r>
      <w:r w:rsidR="001D5058">
        <w:rPr>
          <w:sz w:val="24"/>
          <w:szCs w:val="24"/>
        </w:rPr>
        <w:t>5</w:t>
      </w:r>
      <w:r w:rsidR="001D5058" w:rsidRPr="75662EB0">
        <w:rPr>
          <w:sz w:val="24"/>
          <w:szCs w:val="24"/>
        </w:rPr>
        <w:t xml:space="preserve"> </w:t>
      </w:r>
      <w:r w:rsidR="00120E47" w:rsidRPr="75662EB0">
        <w:rPr>
          <w:sz w:val="24"/>
          <w:szCs w:val="24"/>
        </w:rPr>
        <w:t>period, t</w:t>
      </w:r>
      <w:r w:rsidR="00F22E0B" w:rsidRPr="75662EB0">
        <w:rPr>
          <w:sz w:val="24"/>
          <w:szCs w:val="24"/>
        </w:rPr>
        <w:t xml:space="preserve">he Pay Review Process </w:t>
      </w:r>
      <w:r w:rsidR="001011A9" w:rsidRPr="75662EB0">
        <w:rPr>
          <w:sz w:val="24"/>
          <w:szCs w:val="24"/>
        </w:rPr>
        <w:t xml:space="preserve">for senior staff </w:t>
      </w:r>
      <w:r w:rsidR="00120E47" w:rsidRPr="75662EB0">
        <w:rPr>
          <w:rFonts w:ascii="Calibri" w:eastAsia="Calibri" w:hAnsi="Calibri" w:cs="Calibri"/>
          <w:sz w:val="24"/>
          <w:szCs w:val="24"/>
        </w:rPr>
        <w:t>consi</w:t>
      </w:r>
      <w:r w:rsidR="140074A3" w:rsidRPr="75662EB0">
        <w:rPr>
          <w:rFonts w:ascii="Calibri" w:eastAsia="Calibri" w:hAnsi="Calibri" w:cs="Calibri"/>
          <w:sz w:val="24"/>
          <w:szCs w:val="24"/>
        </w:rPr>
        <w:t>dered</w:t>
      </w:r>
      <w:r w:rsidR="00F22E0B" w:rsidRPr="75662EB0">
        <w:rPr>
          <w:rFonts w:ascii="Calibri" w:eastAsia="Calibri" w:hAnsi="Calibri" w:cs="Calibri"/>
          <w:sz w:val="24"/>
          <w:szCs w:val="24"/>
        </w:rPr>
        <w:t xml:space="preserve"> </w:t>
      </w:r>
      <w:r w:rsidR="00552721">
        <w:rPr>
          <w:rFonts w:ascii="Calibri" w:eastAsia="Calibri" w:hAnsi="Calibri" w:cs="Calibri"/>
          <w:sz w:val="24"/>
          <w:szCs w:val="24"/>
        </w:rPr>
        <w:t>two</w:t>
      </w:r>
      <w:r w:rsidR="00552721" w:rsidRPr="75662EB0">
        <w:rPr>
          <w:rFonts w:ascii="Calibri" w:eastAsia="Calibri" w:hAnsi="Calibri" w:cs="Calibri"/>
          <w:sz w:val="24"/>
          <w:szCs w:val="24"/>
        </w:rPr>
        <w:t xml:space="preserve"> </w:t>
      </w:r>
      <w:r w:rsidR="00F22E0B" w:rsidRPr="75662EB0">
        <w:rPr>
          <w:rFonts w:ascii="Calibri" w:eastAsia="Calibri" w:hAnsi="Calibri" w:cs="Calibri"/>
          <w:sz w:val="24"/>
          <w:szCs w:val="24"/>
        </w:rPr>
        <w:t>different elements</w:t>
      </w:r>
      <w:r w:rsidR="00AD0F94" w:rsidRPr="75662EB0">
        <w:rPr>
          <w:rFonts w:ascii="Calibri" w:eastAsia="Calibri" w:hAnsi="Calibri" w:cs="Calibri"/>
          <w:sz w:val="24"/>
          <w:szCs w:val="24"/>
        </w:rPr>
        <w:t>:</w:t>
      </w:r>
    </w:p>
    <w:p w14:paraId="5AF5E6BC" w14:textId="43311553" w:rsidR="00F22E0B" w:rsidRPr="00E21D44" w:rsidRDefault="00F22E0B" w:rsidP="00AC6B5B">
      <w:pPr>
        <w:pStyle w:val="ListParagraph"/>
        <w:numPr>
          <w:ilvl w:val="0"/>
          <w:numId w:val="11"/>
        </w:numPr>
        <w:spacing w:after="0" w:line="240" w:lineRule="auto"/>
        <w:rPr>
          <w:rFonts w:ascii="Calibri" w:eastAsia="Calibri" w:hAnsi="Calibri" w:cs="Calibri"/>
          <w:sz w:val="24"/>
          <w:szCs w:val="24"/>
        </w:rPr>
      </w:pPr>
      <w:r w:rsidRPr="005702E7">
        <w:rPr>
          <w:rFonts w:ascii="Calibri" w:eastAsia="Calibri" w:hAnsi="Calibri" w:cs="Calibri"/>
          <w:b/>
          <w:bCs/>
          <w:sz w:val="24"/>
          <w:szCs w:val="24"/>
        </w:rPr>
        <w:t xml:space="preserve">Consolidated Award </w:t>
      </w:r>
      <w:r w:rsidRPr="005702E7">
        <w:rPr>
          <w:rFonts w:ascii="Calibri" w:eastAsia="Calibri" w:hAnsi="Calibri" w:cs="Calibri"/>
          <w:sz w:val="24"/>
          <w:szCs w:val="24"/>
        </w:rPr>
        <w:t xml:space="preserve">– </w:t>
      </w:r>
      <w:r w:rsidR="00345783" w:rsidRPr="005702E7">
        <w:rPr>
          <w:rFonts w:ascii="Calibri" w:eastAsia="Calibri" w:hAnsi="Calibri" w:cs="Calibri"/>
          <w:sz w:val="24"/>
          <w:szCs w:val="24"/>
        </w:rPr>
        <w:t>e</w:t>
      </w:r>
      <w:r w:rsidRPr="005702E7">
        <w:rPr>
          <w:rFonts w:ascii="Calibri" w:eastAsia="Calibri" w:hAnsi="Calibri" w:cs="Calibri"/>
          <w:sz w:val="24"/>
          <w:szCs w:val="24"/>
        </w:rPr>
        <w:t xml:space="preserve">ffectively </w:t>
      </w:r>
      <w:r w:rsidR="00603409" w:rsidRPr="005702E7">
        <w:rPr>
          <w:rFonts w:ascii="Calibri" w:eastAsia="Calibri" w:hAnsi="Calibri" w:cs="Calibri"/>
          <w:sz w:val="24"/>
          <w:szCs w:val="24"/>
        </w:rPr>
        <w:t>a</w:t>
      </w:r>
      <w:r w:rsidRPr="005702E7">
        <w:rPr>
          <w:rFonts w:ascii="Calibri" w:eastAsia="Calibri" w:hAnsi="Calibri" w:cs="Calibri"/>
          <w:sz w:val="24"/>
          <w:szCs w:val="24"/>
        </w:rPr>
        <w:t xml:space="preserve"> cost-of-living rise </w:t>
      </w:r>
      <w:r w:rsidR="001F04D1">
        <w:rPr>
          <w:rFonts w:ascii="Calibri" w:eastAsia="Calibri" w:hAnsi="Calibri" w:cs="Calibri"/>
          <w:sz w:val="24"/>
          <w:szCs w:val="24"/>
        </w:rPr>
        <w:t xml:space="preserve">which </w:t>
      </w:r>
      <w:r w:rsidRPr="005702E7">
        <w:rPr>
          <w:rFonts w:ascii="Calibri" w:eastAsia="Calibri" w:hAnsi="Calibri" w:cs="Calibri"/>
          <w:sz w:val="24"/>
          <w:szCs w:val="24"/>
        </w:rPr>
        <w:t xml:space="preserve">normally reflects the annual pay increase for all other </w:t>
      </w:r>
      <w:r w:rsidR="008202DA" w:rsidRPr="005702E7">
        <w:rPr>
          <w:rFonts w:ascii="Calibri" w:eastAsia="Calibri" w:hAnsi="Calibri" w:cs="Calibri"/>
          <w:sz w:val="24"/>
          <w:szCs w:val="24"/>
        </w:rPr>
        <w:t>University</w:t>
      </w:r>
      <w:r w:rsidRPr="005702E7">
        <w:rPr>
          <w:rFonts w:ascii="Calibri" w:eastAsia="Calibri" w:hAnsi="Calibri" w:cs="Calibri"/>
          <w:sz w:val="24"/>
          <w:szCs w:val="24"/>
        </w:rPr>
        <w:t xml:space="preserve"> staff who are on the </w:t>
      </w:r>
      <w:r w:rsidR="00380A70">
        <w:rPr>
          <w:rFonts w:ascii="Calibri" w:eastAsia="Calibri" w:hAnsi="Calibri" w:cs="Calibri"/>
          <w:sz w:val="24"/>
          <w:szCs w:val="24"/>
        </w:rPr>
        <w:t xml:space="preserve">national </w:t>
      </w:r>
      <w:r w:rsidRPr="005702E7">
        <w:rPr>
          <w:rFonts w:ascii="Calibri" w:eastAsia="Calibri" w:hAnsi="Calibri" w:cs="Calibri"/>
          <w:sz w:val="24"/>
          <w:szCs w:val="24"/>
        </w:rPr>
        <w:t>single pay spine</w:t>
      </w:r>
      <w:r w:rsidR="00380A70" w:rsidRPr="00380A70">
        <w:t xml:space="preserve"> </w:t>
      </w:r>
      <w:r w:rsidR="00380A70">
        <w:t>framework</w:t>
      </w:r>
      <w:r w:rsidRPr="005702E7">
        <w:rPr>
          <w:rFonts w:ascii="Calibri" w:eastAsia="Calibri" w:hAnsi="Calibri" w:cs="Calibri"/>
          <w:sz w:val="24"/>
          <w:szCs w:val="24"/>
        </w:rPr>
        <w:t xml:space="preserve">. However, </w:t>
      </w:r>
      <w:r w:rsidR="00380A70">
        <w:rPr>
          <w:rFonts w:ascii="Calibri" w:eastAsia="Calibri" w:hAnsi="Calibri" w:cs="Calibri"/>
          <w:sz w:val="24"/>
          <w:szCs w:val="24"/>
        </w:rPr>
        <w:t>the University has</w:t>
      </w:r>
      <w:r w:rsidRPr="005702E7">
        <w:rPr>
          <w:rFonts w:ascii="Calibri" w:eastAsia="Calibri" w:hAnsi="Calibri" w:cs="Calibri"/>
          <w:sz w:val="24"/>
          <w:szCs w:val="24"/>
        </w:rPr>
        <w:t xml:space="preserve"> the discretion to decide whether this is paid and at what percentage.</w:t>
      </w:r>
      <w:r w:rsidR="00534E62" w:rsidRPr="00534E62">
        <w:rPr>
          <w:sz w:val="24"/>
          <w:szCs w:val="24"/>
        </w:rPr>
        <w:t xml:space="preserve"> </w:t>
      </w:r>
      <w:r w:rsidR="00534E62" w:rsidRPr="00E21D44">
        <w:rPr>
          <w:sz w:val="24"/>
          <w:szCs w:val="24"/>
        </w:rPr>
        <w:t xml:space="preserve">The Remuneration Committee </w:t>
      </w:r>
      <w:r w:rsidR="00E21D44" w:rsidRPr="00E21D44">
        <w:rPr>
          <w:sz w:val="24"/>
          <w:szCs w:val="24"/>
        </w:rPr>
        <w:t>has</w:t>
      </w:r>
      <w:r w:rsidR="00FC5712" w:rsidRPr="00E21D44">
        <w:rPr>
          <w:sz w:val="24"/>
          <w:szCs w:val="24"/>
        </w:rPr>
        <w:t xml:space="preserve"> </w:t>
      </w:r>
      <w:r w:rsidR="00534E62" w:rsidRPr="00E21D44">
        <w:rPr>
          <w:sz w:val="24"/>
          <w:szCs w:val="24"/>
        </w:rPr>
        <w:t>oversight of the outcomes of any national pay negotiations and ratifie</w:t>
      </w:r>
      <w:r w:rsidR="00E21D44">
        <w:rPr>
          <w:sz w:val="24"/>
          <w:szCs w:val="24"/>
        </w:rPr>
        <w:t>s</w:t>
      </w:r>
      <w:r w:rsidR="00534E62" w:rsidRPr="00E21D44">
        <w:rPr>
          <w:sz w:val="24"/>
          <w:szCs w:val="24"/>
        </w:rPr>
        <w:t xml:space="preserve"> any proposed cost-of-living rise for Board appointments and other UEB members</w:t>
      </w:r>
      <w:r w:rsidR="00E21D44">
        <w:rPr>
          <w:sz w:val="24"/>
          <w:szCs w:val="24"/>
        </w:rPr>
        <w:t>, following</w:t>
      </w:r>
      <w:r w:rsidR="00E21D44" w:rsidRPr="00E21D44">
        <w:rPr>
          <w:sz w:val="24"/>
          <w:szCs w:val="24"/>
        </w:rPr>
        <w:t xml:space="preserve"> </w:t>
      </w:r>
      <w:r w:rsidR="00E21D44">
        <w:rPr>
          <w:sz w:val="24"/>
          <w:szCs w:val="24"/>
        </w:rPr>
        <w:t>the Finance and Employment Committee’s (FEC) decision in relation to SSG employees</w:t>
      </w:r>
      <w:r w:rsidR="00E84E2C">
        <w:rPr>
          <w:sz w:val="24"/>
          <w:szCs w:val="24"/>
        </w:rPr>
        <w:t>.</w:t>
      </w:r>
    </w:p>
    <w:p w14:paraId="1C86604A" w14:textId="6900B466" w:rsidR="00CA0095" w:rsidRPr="005702E7" w:rsidRDefault="00F22E0B" w:rsidP="00AC6B5B">
      <w:pPr>
        <w:pStyle w:val="ListParagraph"/>
        <w:numPr>
          <w:ilvl w:val="0"/>
          <w:numId w:val="11"/>
        </w:numPr>
        <w:spacing w:after="0" w:line="240" w:lineRule="auto"/>
        <w:rPr>
          <w:sz w:val="24"/>
          <w:szCs w:val="24"/>
        </w:rPr>
      </w:pPr>
      <w:r w:rsidRPr="14002F5E">
        <w:rPr>
          <w:rFonts w:ascii="Calibri" w:eastAsia="Calibri" w:hAnsi="Calibri" w:cs="Calibri"/>
          <w:b/>
          <w:bCs/>
          <w:sz w:val="24"/>
          <w:szCs w:val="24"/>
        </w:rPr>
        <w:t xml:space="preserve">Review of Baseline Salary </w:t>
      </w:r>
      <w:r w:rsidRPr="14002F5E">
        <w:rPr>
          <w:rFonts w:ascii="Calibri" w:eastAsia="Calibri" w:hAnsi="Calibri" w:cs="Calibri"/>
          <w:sz w:val="24"/>
          <w:szCs w:val="24"/>
        </w:rPr>
        <w:t xml:space="preserve">– </w:t>
      </w:r>
      <w:r w:rsidR="00380A70" w:rsidRPr="14002F5E">
        <w:rPr>
          <w:rFonts w:ascii="Calibri" w:eastAsia="Calibri" w:hAnsi="Calibri" w:cs="Calibri"/>
          <w:sz w:val="24"/>
          <w:szCs w:val="24"/>
        </w:rPr>
        <w:t>the</w:t>
      </w:r>
      <w:r w:rsidRPr="14002F5E">
        <w:rPr>
          <w:rFonts w:ascii="Calibri" w:eastAsia="Calibri" w:hAnsi="Calibri" w:cs="Calibri"/>
          <w:sz w:val="24"/>
          <w:szCs w:val="24"/>
        </w:rPr>
        <w:t xml:space="preserve"> process </w:t>
      </w:r>
      <w:r w:rsidR="00380A70" w:rsidRPr="14002F5E">
        <w:rPr>
          <w:rFonts w:ascii="Calibri" w:eastAsia="Calibri" w:hAnsi="Calibri" w:cs="Calibri"/>
          <w:sz w:val="24"/>
          <w:szCs w:val="24"/>
        </w:rPr>
        <w:t xml:space="preserve">provides an opportunity </w:t>
      </w:r>
      <w:r w:rsidRPr="14002F5E">
        <w:rPr>
          <w:rFonts w:ascii="Calibri" w:eastAsia="Calibri" w:hAnsi="Calibri" w:cs="Calibri"/>
          <w:sz w:val="24"/>
          <w:szCs w:val="24"/>
        </w:rPr>
        <w:t xml:space="preserve">to review base salaries </w:t>
      </w:r>
      <w:r w:rsidR="00534E62" w:rsidRPr="14002F5E">
        <w:rPr>
          <w:sz w:val="24"/>
          <w:szCs w:val="24"/>
        </w:rPr>
        <w:t xml:space="preserve">and </w:t>
      </w:r>
      <w:proofErr w:type="gramStart"/>
      <w:r w:rsidR="00534E62" w:rsidRPr="14002F5E">
        <w:rPr>
          <w:sz w:val="24"/>
          <w:szCs w:val="24"/>
        </w:rPr>
        <w:t>make adjustments</w:t>
      </w:r>
      <w:proofErr w:type="gramEnd"/>
      <w:r w:rsidR="00534E62" w:rsidRPr="14002F5E">
        <w:rPr>
          <w:sz w:val="24"/>
          <w:szCs w:val="24"/>
        </w:rPr>
        <w:t xml:space="preserve"> within the appropriate salary band</w:t>
      </w:r>
      <w:r w:rsidR="00534E62" w:rsidRPr="14002F5E">
        <w:rPr>
          <w:rFonts w:ascii="Calibri" w:eastAsia="Calibri" w:hAnsi="Calibri" w:cs="Calibri"/>
          <w:color w:val="000000" w:themeColor="text1"/>
          <w:sz w:val="24"/>
          <w:szCs w:val="24"/>
        </w:rPr>
        <w:t xml:space="preserve"> </w:t>
      </w:r>
      <w:r w:rsidR="00380A70" w:rsidRPr="14002F5E">
        <w:rPr>
          <w:rFonts w:ascii="Calibri" w:eastAsia="Calibri" w:hAnsi="Calibri" w:cs="Calibri"/>
          <w:color w:val="000000" w:themeColor="text1"/>
          <w:sz w:val="24"/>
          <w:szCs w:val="24"/>
        </w:rPr>
        <w:t xml:space="preserve">in terms of external benchmarking and individual experience and impact in the role </w:t>
      </w:r>
      <w:r w:rsidR="00380A70" w:rsidRPr="14002F5E">
        <w:rPr>
          <w:rFonts w:ascii="Calibri" w:eastAsia="Calibri" w:hAnsi="Calibri" w:cs="Calibri"/>
          <w:sz w:val="24"/>
          <w:szCs w:val="24"/>
        </w:rPr>
        <w:t>(since</w:t>
      </w:r>
      <w:r w:rsidRPr="14002F5E">
        <w:rPr>
          <w:rFonts w:ascii="Calibri" w:eastAsia="Calibri" w:hAnsi="Calibri" w:cs="Calibri"/>
          <w:sz w:val="24"/>
          <w:szCs w:val="24"/>
        </w:rPr>
        <w:t xml:space="preserve"> salary </w:t>
      </w:r>
      <w:r w:rsidR="008E44B6" w:rsidRPr="14002F5E">
        <w:rPr>
          <w:rFonts w:ascii="Calibri" w:eastAsia="Calibri" w:hAnsi="Calibri" w:cs="Calibri"/>
          <w:sz w:val="24"/>
          <w:szCs w:val="24"/>
        </w:rPr>
        <w:t>bands</w:t>
      </w:r>
      <w:r w:rsidRPr="14002F5E">
        <w:rPr>
          <w:rFonts w:ascii="Calibri" w:eastAsia="Calibri" w:hAnsi="Calibri" w:cs="Calibri"/>
          <w:sz w:val="24"/>
          <w:szCs w:val="24"/>
        </w:rPr>
        <w:t xml:space="preserve"> do not have automatic incremental progression</w:t>
      </w:r>
      <w:r w:rsidR="00380A70" w:rsidRPr="14002F5E">
        <w:rPr>
          <w:rFonts w:ascii="Calibri" w:eastAsia="Calibri" w:hAnsi="Calibri" w:cs="Calibri"/>
          <w:sz w:val="24"/>
          <w:szCs w:val="24"/>
        </w:rPr>
        <w:t>)</w:t>
      </w:r>
      <w:r w:rsidRPr="14002F5E">
        <w:rPr>
          <w:rFonts w:ascii="Calibri" w:eastAsia="Calibri" w:hAnsi="Calibri" w:cs="Calibri"/>
          <w:sz w:val="24"/>
          <w:szCs w:val="24"/>
        </w:rPr>
        <w:t>.</w:t>
      </w:r>
      <w:r w:rsidR="7CBB40F1" w:rsidRPr="14002F5E">
        <w:rPr>
          <w:sz w:val="24"/>
          <w:szCs w:val="24"/>
        </w:rPr>
        <w:t xml:space="preserve"> Upward salary progression should take into consideration an individual’s acquisition of skill, knowledge and experience in their current role which enables them to make a significantly higher contribution.</w:t>
      </w:r>
    </w:p>
    <w:p w14:paraId="52988E84" w14:textId="15228AC7" w:rsidR="00120E47" w:rsidRDefault="008B6704" w:rsidP="00AC6B5B">
      <w:pPr>
        <w:spacing w:line="240" w:lineRule="auto"/>
        <w:rPr>
          <w:sz w:val="24"/>
          <w:szCs w:val="24"/>
        </w:rPr>
      </w:pPr>
      <w:r w:rsidRPr="14002F5E">
        <w:rPr>
          <w:sz w:val="24"/>
          <w:szCs w:val="24"/>
        </w:rPr>
        <w:t>The</w:t>
      </w:r>
      <w:r w:rsidR="0013577A" w:rsidRPr="14002F5E">
        <w:rPr>
          <w:sz w:val="24"/>
          <w:szCs w:val="24"/>
        </w:rPr>
        <w:t xml:space="preserve"> non-consolidated</w:t>
      </w:r>
      <w:r w:rsidR="00552721" w:rsidRPr="14002F5E">
        <w:rPr>
          <w:sz w:val="24"/>
          <w:szCs w:val="24"/>
        </w:rPr>
        <w:t xml:space="preserve"> performance related</w:t>
      </w:r>
      <w:r w:rsidR="0013577A" w:rsidRPr="14002F5E">
        <w:rPr>
          <w:sz w:val="24"/>
          <w:szCs w:val="24"/>
        </w:rPr>
        <w:t xml:space="preserve"> award </w:t>
      </w:r>
      <w:r w:rsidR="5A3ABDEC" w:rsidRPr="14002F5E">
        <w:rPr>
          <w:sz w:val="24"/>
          <w:szCs w:val="24"/>
        </w:rPr>
        <w:t xml:space="preserve">(bonus) </w:t>
      </w:r>
      <w:r w:rsidR="00120E47" w:rsidRPr="14002F5E">
        <w:rPr>
          <w:sz w:val="24"/>
          <w:szCs w:val="24"/>
        </w:rPr>
        <w:t>element</w:t>
      </w:r>
      <w:r w:rsidR="00552721" w:rsidRPr="14002F5E">
        <w:rPr>
          <w:sz w:val="24"/>
          <w:szCs w:val="24"/>
        </w:rPr>
        <w:t xml:space="preserve"> of the pay process</w:t>
      </w:r>
      <w:r w:rsidR="00120E47" w:rsidRPr="14002F5E">
        <w:rPr>
          <w:sz w:val="24"/>
          <w:szCs w:val="24"/>
        </w:rPr>
        <w:t xml:space="preserve"> </w:t>
      </w:r>
      <w:r w:rsidR="001D5058" w:rsidRPr="14002F5E">
        <w:rPr>
          <w:sz w:val="24"/>
          <w:szCs w:val="24"/>
        </w:rPr>
        <w:t>ha</w:t>
      </w:r>
      <w:r w:rsidR="560030EA" w:rsidRPr="14002F5E">
        <w:rPr>
          <w:sz w:val="24"/>
          <w:szCs w:val="24"/>
        </w:rPr>
        <w:t>d</w:t>
      </w:r>
      <w:r w:rsidR="001D5058" w:rsidRPr="14002F5E">
        <w:rPr>
          <w:sz w:val="24"/>
          <w:szCs w:val="24"/>
        </w:rPr>
        <w:t xml:space="preserve"> been </w:t>
      </w:r>
      <w:r w:rsidR="00120E47" w:rsidRPr="14002F5E">
        <w:rPr>
          <w:sz w:val="24"/>
          <w:szCs w:val="24"/>
        </w:rPr>
        <w:t>suspended</w:t>
      </w:r>
      <w:r w:rsidR="001D5058" w:rsidRPr="14002F5E">
        <w:rPr>
          <w:sz w:val="24"/>
          <w:szCs w:val="24"/>
        </w:rPr>
        <w:t xml:space="preserve"> since </w:t>
      </w:r>
      <w:r w:rsidR="00CD4784" w:rsidRPr="14002F5E">
        <w:rPr>
          <w:sz w:val="24"/>
          <w:szCs w:val="24"/>
        </w:rPr>
        <w:t>2018/</w:t>
      </w:r>
      <w:r w:rsidR="00CD4784">
        <w:rPr>
          <w:sz w:val="24"/>
          <w:szCs w:val="24"/>
        </w:rPr>
        <w:t>1</w:t>
      </w:r>
      <w:r w:rsidR="00CD4784" w:rsidRPr="14002F5E">
        <w:rPr>
          <w:sz w:val="24"/>
          <w:szCs w:val="24"/>
        </w:rPr>
        <w:t>9,</w:t>
      </w:r>
      <w:r w:rsidR="00120E47" w:rsidRPr="14002F5E">
        <w:rPr>
          <w:sz w:val="24"/>
          <w:szCs w:val="24"/>
        </w:rPr>
        <w:t xml:space="preserve"> </w:t>
      </w:r>
      <w:r w:rsidRPr="14002F5E">
        <w:rPr>
          <w:sz w:val="24"/>
          <w:szCs w:val="24"/>
        </w:rPr>
        <w:t>and t</w:t>
      </w:r>
      <w:r w:rsidR="00120E47" w:rsidRPr="14002F5E">
        <w:rPr>
          <w:sz w:val="24"/>
          <w:szCs w:val="24"/>
        </w:rPr>
        <w:t xml:space="preserve">he Committee </w:t>
      </w:r>
      <w:r w:rsidR="002D40BF" w:rsidRPr="14002F5E">
        <w:rPr>
          <w:sz w:val="24"/>
          <w:szCs w:val="24"/>
        </w:rPr>
        <w:t xml:space="preserve">recommended the </w:t>
      </w:r>
      <w:r w:rsidR="0013577A" w:rsidRPr="14002F5E">
        <w:rPr>
          <w:sz w:val="24"/>
          <w:szCs w:val="24"/>
        </w:rPr>
        <w:t xml:space="preserve">permanent </w:t>
      </w:r>
      <w:r w:rsidR="002D40BF" w:rsidRPr="14002F5E">
        <w:rPr>
          <w:sz w:val="24"/>
          <w:szCs w:val="24"/>
        </w:rPr>
        <w:t xml:space="preserve">removal of </w:t>
      </w:r>
      <w:r w:rsidR="0013577A" w:rsidRPr="14002F5E">
        <w:rPr>
          <w:sz w:val="24"/>
          <w:szCs w:val="24"/>
        </w:rPr>
        <w:t xml:space="preserve">this </w:t>
      </w:r>
      <w:r w:rsidR="00EE18AB" w:rsidRPr="14002F5E">
        <w:rPr>
          <w:sz w:val="24"/>
          <w:szCs w:val="24"/>
        </w:rPr>
        <w:t xml:space="preserve">element </w:t>
      </w:r>
      <w:r w:rsidR="002D40BF" w:rsidRPr="14002F5E">
        <w:rPr>
          <w:sz w:val="24"/>
          <w:szCs w:val="24"/>
        </w:rPr>
        <w:t xml:space="preserve">from the </w:t>
      </w:r>
      <w:r w:rsidR="219774F0" w:rsidRPr="14002F5E">
        <w:rPr>
          <w:sz w:val="24"/>
          <w:szCs w:val="24"/>
        </w:rPr>
        <w:t>UEB/</w:t>
      </w:r>
      <w:r w:rsidR="002D40BF" w:rsidRPr="14002F5E">
        <w:rPr>
          <w:sz w:val="24"/>
          <w:szCs w:val="24"/>
        </w:rPr>
        <w:t>SSG pay process</w:t>
      </w:r>
      <w:r w:rsidR="67E20989" w:rsidRPr="14002F5E">
        <w:rPr>
          <w:sz w:val="24"/>
          <w:szCs w:val="24"/>
        </w:rPr>
        <w:t>es</w:t>
      </w:r>
      <w:r w:rsidR="002D40BF" w:rsidRPr="14002F5E">
        <w:rPr>
          <w:sz w:val="24"/>
          <w:szCs w:val="24"/>
        </w:rPr>
        <w:t xml:space="preserve"> with effect from 2024/25 </w:t>
      </w:r>
      <w:r w:rsidR="0013577A" w:rsidRPr="14002F5E">
        <w:rPr>
          <w:sz w:val="24"/>
          <w:szCs w:val="24"/>
        </w:rPr>
        <w:t>which</w:t>
      </w:r>
      <w:r w:rsidR="002D40BF" w:rsidRPr="14002F5E">
        <w:rPr>
          <w:sz w:val="24"/>
          <w:szCs w:val="24"/>
        </w:rPr>
        <w:t xml:space="preserve"> was approved by </w:t>
      </w:r>
      <w:r w:rsidR="00E21D44" w:rsidRPr="14002F5E">
        <w:rPr>
          <w:sz w:val="24"/>
          <w:szCs w:val="24"/>
        </w:rPr>
        <w:t>FEC</w:t>
      </w:r>
      <w:r w:rsidR="00985A93" w:rsidRPr="14002F5E">
        <w:rPr>
          <w:sz w:val="24"/>
          <w:szCs w:val="24"/>
        </w:rPr>
        <w:t xml:space="preserve"> </w:t>
      </w:r>
      <w:r w:rsidR="002D40BF" w:rsidRPr="14002F5E">
        <w:rPr>
          <w:sz w:val="24"/>
          <w:szCs w:val="24"/>
        </w:rPr>
        <w:t>on 6 March 2024.</w:t>
      </w:r>
    </w:p>
    <w:p w14:paraId="3FA08E15" w14:textId="54243941" w:rsidR="004E393C" w:rsidRDefault="00B025DB" w:rsidP="00AC6B5B">
      <w:pPr>
        <w:spacing w:line="240" w:lineRule="auto"/>
        <w:rPr>
          <w:sz w:val="24"/>
          <w:szCs w:val="24"/>
        </w:rPr>
      </w:pPr>
      <w:r w:rsidRPr="6BB05167">
        <w:rPr>
          <w:rFonts w:eastAsia="Times New Roman" w:cs="Arial"/>
          <w:sz w:val="24"/>
          <w:szCs w:val="24"/>
        </w:rPr>
        <w:t xml:space="preserve">On </w:t>
      </w:r>
      <w:r w:rsidR="004E393C" w:rsidRPr="6BB05167">
        <w:rPr>
          <w:rFonts w:eastAsia="Times New Roman" w:cs="Arial"/>
          <w:sz w:val="24"/>
          <w:szCs w:val="24"/>
        </w:rPr>
        <w:t>1 May</w:t>
      </w:r>
      <w:r w:rsidRPr="6BB05167">
        <w:rPr>
          <w:rFonts w:eastAsia="Times New Roman" w:cs="Arial"/>
          <w:sz w:val="24"/>
          <w:szCs w:val="24"/>
        </w:rPr>
        <w:t xml:space="preserve"> 2025,</w:t>
      </w:r>
      <w:r w:rsidR="004E393C" w:rsidRPr="6BB05167">
        <w:rPr>
          <w:rFonts w:eastAsia="Times New Roman" w:cs="Arial"/>
          <w:sz w:val="24"/>
          <w:szCs w:val="24"/>
        </w:rPr>
        <w:t xml:space="preserve"> FEC approved a review of the SSG Pay Framework </w:t>
      </w:r>
      <w:r w:rsidR="3DBC9084" w:rsidRPr="6BB05167">
        <w:rPr>
          <w:rFonts w:eastAsia="Times New Roman" w:cs="Arial"/>
          <w:sz w:val="24"/>
          <w:szCs w:val="24"/>
        </w:rPr>
        <w:t>and annual pay review process</w:t>
      </w:r>
      <w:r w:rsidR="00400CC7" w:rsidRPr="6BB05167">
        <w:rPr>
          <w:sz w:val="24"/>
          <w:szCs w:val="24"/>
        </w:rPr>
        <w:t>.</w:t>
      </w:r>
      <w:r w:rsidR="006C061E" w:rsidRPr="6BB05167">
        <w:rPr>
          <w:sz w:val="24"/>
          <w:szCs w:val="24"/>
        </w:rPr>
        <w:t xml:space="preserve"> </w:t>
      </w:r>
      <w:r w:rsidR="00DF7876">
        <w:rPr>
          <w:sz w:val="24"/>
          <w:szCs w:val="24"/>
        </w:rPr>
        <w:t xml:space="preserve">On 1 July 2025, </w:t>
      </w:r>
      <w:r w:rsidR="004D23BA" w:rsidRPr="6BB05167">
        <w:rPr>
          <w:sz w:val="24"/>
          <w:szCs w:val="24"/>
        </w:rPr>
        <w:t>RemCo</w:t>
      </w:r>
      <w:r w:rsidR="00735674" w:rsidRPr="6BB05167">
        <w:rPr>
          <w:sz w:val="24"/>
          <w:szCs w:val="24"/>
        </w:rPr>
        <w:t xml:space="preserve"> approved </w:t>
      </w:r>
      <w:r w:rsidR="0000081D">
        <w:rPr>
          <w:sz w:val="24"/>
          <w:szCs w:val="24"/>
        </w:rPr>
        <w:t xml:space="preserve">a review of UEB Pay Framework and annual pay review </w:t>
      </w:r>
      <w:r w:rsidR="00863A0D">
        <w:rPr>
          <w:sz w:val="24"/>
          <w:szCs w:val="24"/>
        </w:rPr>
        <w:t>whi</w:t>
      </w:r>
      <w:r w:rsidR="00A35AF5">
        <w:rPr>
          <w:sz w:val="24"/>
          <w:szCs w:val="24"/>
        </w:rPr>
        <w:t xml:space="preserve">ch </w:t>
      </w:r>
      <w:r w:rsidR="00C23393">
        <w:rPr>
          <w:sz w:val="24"/>
          <w:szCs w:val="24"/>
        </w:rPr>
        <w:t>would apply</w:t>
      </w:r>
      <w:r w:rsidR="00A35AF5">
        <w:rPr>
          <w:sz w:val="24"/>
          <w:szCs w:val="24"/>
        </w:rPr>
        <w:t xml:space="preserve"> to Board </w:t>
      </w:r>
      <w:r w:rsidR="004E60CA">
        <w:rPr>
          <w:sz w:val="24"/>
          <w:szCs w:val="24"/>
        </w:rPr>
        <w:t xml:space="preserve">appointments and </w:t>
      </w:r>
      <w:r w:rsidR="009315E9">
        <w:rPr>
          <w:sz w:val="24"/>
          <w:szCs w:val="24"/>
        </w:rPr>
        <w:t xml:space="preserve">any other staff </w:t>
      </w:r>
      <w:r w:rsidR="00E339CB">
        <w:rPr>
          <w:sz w:val="24"/>
          <w:szCs w:val="24"/>
        </w:rPr>
        <w:t xml:space="preserve">falling </w:t>
      </w:r>
      <w:r w:rsidR="009315E9">
        <w:rPr>
          <w:sz w:val="24"/>
          <w:szCs w:val="24"/>
        </w:rPr>
        <w:t>with</w:t>
      </w:r>
      <w:r w:rsidR="00E339CB">
        <w:rPr>
          <w:sz w:val="24"/>
          <w:szCs w:val="24"/>
        </w:rPr>
        <w:t>in</w:t>
      </w:r>
      <w:r w:rsidR="009315E9">
        <w:rPr>
          <w:sz w:val="24"/>
          <w:szCs w:val="24"/>
        </w:rPr>
        <w:t xml:space="preserve"> the </w:t>
      </w:r>
      <w:r w:rsidR="00C23393">
        <w:rPr>
          <w:sz w:val="24"/>
          <w:szCs w:val="24"/>
        </w:rPr>
        <w:t>remit</w:t>
      </w:r>
      <w:r w:rsidR="009315E9">
        <w:rPr>
          <w:sz w:val="24"/>
          <w:szCs w:val="24"/>
        </w:rPr>
        <w:t xml:space="preserve"> of the </w:t>
      </w:r>
      <w:r w:rsidR="00C23393">
        <w:rPr>
          <w:sz w:val="24"/>
          <w:szCs w:val="24"/>
        </w:rPr>
        <w:t>Committee</w:t>
      </w:r>
      <w:r w:rsidR="00E83C4E">
        <w:rPr>
          <w:sz w:val="24"/>
          <w:szCs w:val="24"/>
        </w:rPr>
        <w:t xml:space="preserve">. </w:t>
      </w:r>
      <w:r w:rsidR="006A5B08">
        <w:rPr>
          <w:sz w:val="24"/>
          <w:szCs w:val="24"/>
        </w:rPr>
        <w:t>The</w:t>
      </w:r>
      <w:r w:rsidR="006A5B08" w:rsidRPr="6BB05167">
        <w:rPr>
          <w:sz w:val="24"/>
          <w:szCs w:val="24"/>
        </w:rPr>
        <w:t xml:space="preserve"> </w:t>
      </w:r>
      <w:r w:rsidR="004618C0" w:rsidRPr="6BB05167">
        <w:rPr>
          <w:sz w:val="24"/>
          <w:szCs w:val="24"/>
        </w:rPr>
        <w:t xml:space="preserve">review of SSG and UEB pay </w:t>
      </w:r>
      <w:r w:rsidR="00685E9D" w:rsidRPr="6BB05167">
        <w:rPr>
          <w:sz w:val="24"/>
          <w:szCs w:val="24"/>
        </w:rPr>
        <w:t xml:space="preserve">frameworks </w:t>
      </w:r>
      <w:r w:rsidR="40450F21" w:rsidRPr="6BB05167">
        <w:rPr>
          <w:sz w:val="24"/>
          <w:szCs w:val="24"/>
        </w:rPr>
        <w:t xml:space="preserve">and annual pay review processes </w:t>
      </w:r>
      <w:r w:rsidR="00685E9D" w:rsidRPr="6BB05167">
        <w:rPr>
          <w:sz w:val="24"/>
          <w:szCs w:val="24"/>
        </w:rPr>
        <w:t xml:space="preserve">will </w:t>
      </w:r>
      <w:r w:rsidR="7F9D1F0D" w:rsidRPr="6BB05167">
        <w:rPr>
          <w:sz w:val="24"/>
          <w:szCs w:val="24"/>
        </w:rPr>
        <w:t xml:space="preserve">therefore </w:t>
      </w:r>
      <w:r w:rsidR="00685E9D" w:rsidRPr="6BB05167">
        <w:rPr>
          <w:sz w:val="24"/>
          <w:szCs w:val="24"/>
        </w:rPr>
        <w:t xml:space="preserve">be conducted for implementation in August 2026. </w:t>
      </w:r>
    </w:p>
    <w:p w14:paraId="72A3C0E8" w14:textId="77777777" w:rsidR="00AC6B5B" w:rsidRDefault="00AC6B5B">
      <w:pPr>
        <w:rPr>
          <w:rFonts w:cstheme="minorHAnsi"/>
          <w:b/>
          <w:bCs/>
          <w:sz w:val="24"/>
          <w:szCs w:val="24"/>
        </w:rPr>
      </w:pPr>
      <w:r>
        <w:rPr>
          <w:rFonts w:cstheme="minorHAnsi"/>
          <w:b/>
          <w:bCs/>
          <w:sz w:val="24"/>
          <w:szCs w:val="24"/>
        </w:rPr>
        <w:br w:type="page"/>
      </w:r>
    </w:p>
    <w:p w14:paraId="320C9516" w14:textId="2E32EC66" w:rsidR="00F22E0B" w:rsidRPr="00F22E0B" w:rsidRDefault="00F22E0B" w:rsidP="00AC6B5B">
      <w:pPr>
        <w:pStyle w:val="ListParagraph"/>
        <w:numPr>
          <w:ilvl w:val="0"/>
          <w:numId w:val="7"/>
        </w:numPr>
        <w:spacing w:line="240" w:lineRule="auto"/>
        <w:contextualSpacing w:val="0"/>
        <w:rPr>
          <w:rFonts w:cstheme="minorHAnsi"/>
          <w:b/>
          <w:bCs/>
          <w:sz w:val="24"/>
          <w:szCs w:val="24"/>
        </w:rPr>
      </w:pPr>
      <w:r w:rsidRPr="00F22E0B">
        <w:rPr>
          <w:rFonts w:cstheme="minorHAnsi"/>
          <w:b/>
          <w:bCs/>
          <w:sz w:val="24"/>
          <w:szCs w:val="24"/>
        </w:rPr>
        <w:lastRenderedPageBreak/>
        <w:t>Criteria used to assess performance and/or contribution, and sources of data on performance / contribution</w:t>
      </w:r>
    </w:p>
    <w:p w14:paraId="27C03646" w14:textId="77CF5E8A" w:rsidR="00F22E0B" w:rsidRPr="00F22E0B" w:rsidRDefault="00F22E0B" w:rsidP="00AC6B5B">
      <w:pPr>
        <w:spacing w:line="240" w:lineRule="auto"/>
        <w:jc w:val="both"/>
        <w:rPr>
          <w:rFonts w:cstheme="minorHAnsi"/>
          <w:b/>
          <w:bCs/>
          <w:sz w:val="24"/>
          <w:szCs w:val="24"/>
          <w:u w:val="single"/>
        </w:rPr>
      </w:pPr>
      <w:r w:rsidRPr="00F22E0B">
        <w:rPr>
          <w:rFonts w:cstheme="minorHAnsi"/>
          <w:b/>
          <w:bCs/>
          <w:sz w:val="24"/>
          <w:szCs w:val="24"/>
          <w:u w:val="single"/>
        </w:rPr>
        <w:t>Vice-Chancellor</w:t>
      </w:r>
    </w:p>
    <w:p w14:paraId="13EEE7A3" w14:textId="112405E0" w:rsidR="00F22E0B" w:rsidRPr="00F22E0B" w:rsidRDefault="00F22E0B" w:rsidP="00AC6B5B">
      <w:pPr>
        <w:spacing w:after="120" w:line="240" w:lineRule="auto"/>
        <w:contextualSpacing/>
        <w:rPr>
          <w:sz w:val="24"/>
          <w:szCs w:val="24"/>
        </w:rPr>
      </w:pPr>
      <w:r w:rsidRPr="00F22E0B">
        <w:rPr>
          <w:sz w:val="24"/>
          <w:szCs w:val="24"/>
        </w:rPr>
        <w:t>The following criteria are used to objectively measure and set an appropriate level of reward for the Vice-C</w:t>
      </w:r>
      <w:r w:rsidR="00E866DD">
        <w:rPr>
          <w:sz w:val="24"/>
          <w:szCs w:val="24"/>
        </w:rPr>
        <w:t>h</w:t>
      </w:r>
      <w:r w:rsidRPr="00F22E0B">
        <w:rPr>
          <w:sz w:val="24"/>
          <w:szCs w:val="24"/>
        </w:rPr>
        <w:t>ancellor:</w:t>
      </w:r>
    </w:p>
    <w:p w14:paraId="4F390146" w14:textId="3CFD5B33" w:rsidR="00F22E0B" w:rsidRPr="00F22E0B" w:rsidRDefault="00F22E0B" w:rsidP="00AC6B5B">
      <w:pPr>
        <w:pStyle w:val="ListParagraph"/>
        <w:numPr>
          <w:ilvl w:val="0"/>
          <w:numId w:val="4"/>
        </w:numPr>
        <w:spacing w:after="0" w:line="240" w:lineRule="auto"/>
        <w:ind w:left="426" w:hanging="426"/>
        <w:jc w:val="both"/>
        <w:rPr>
          <w:sz w:val="24"/>
          <w:szCs w:val="24"/>
        </w:rPr>
      </w:pPr>
      <w:r w:rsidRPr="00F22E0B">
        <w:rPr>
          <w:sz w:val="24"/>
          <w:szCs w:val="24"/>
        </w:rPr>
        <w:t>the annual review of the performance of the Vice-Chancellor undertaken by the Chair of the Board;</w:t>
      </w:r>
    </w:p>
    <w:p w14:paraId="58F2C8F3" w14:textId="4A5C009E" w:rsidR="00F22E0B" w:rsidRPr="00F22E0B" w:rsidRDefault="00F22E0B" w:rsidP="00AC6B5B">
      <w:pPr>
        <w:pStyle w:val="ListParagraph"/>
        <w:numPr>
          <w:ilvl w:val="0"/>
          <w:numId w:val="4"/>
        </w:numPr>
        <w:spacing w:after="0" w:line="240" w:lineRule="auto"/>
        <w:ind w:left="426" w:hanging="426"/>
        <w:jc w:val="both"/>
        <w:rPr>
          <w:sz w:val="24"/>
          <w:szCs w:val="24"/>
        </w:rPr>
      </w:pPr>
      <w:r w:rsidRPr="00F22E0B">
        <w:rPr>
          <w:sz w:val="24"/>
          <w:szCs w:val="24"/>
        </w:rPr>
        <w:t xml:space="preserve">the </w:t>
      </w:r>
      <w:r w:rsidRPr="00957D76">
        <w:rPr>
          <w:sz w:val="24"/>
        </w:rPr>
        <w:t>KPIs</w:t>
      </w:r>
      <w:r w:rsidRPr="00F22E0B">
        <w:rPr>
          <w:sz w:val="24"/>
          <w:szCs w:val="24"/>
        </w:rPr>
        <w:t xml:space="preserve"> set by the Board as monitored via the </w:t>
      </w:r>
      <w:r w:rsidR="00F02891">
        <w:rPr>
          <w:sz w:val="24"/>
          <w:szCs w:val="24"/>
        </w:rPr>
        <w:t xml:space="preserve">University </w:t>
      </w:r>
      <w:r w:rsidRPr="00F22E0B">
        <w:rPr>
          <w:sz w:val="24"/>
          <w:szCs w:val="24"/>
        </w:rPr>
        <w:t xml:space="preserve">Performance </w:t>
      </w:r>
      <w:r w:rsidR="00F02891">
        <w:rPr>
          <w:sz w:val="24"/>
          <w:szCs w:val="24"/>
        </w:rPr>
        <w:t>R</w:t>
      </w:r>
      <w:r w:rsidRPr="00F22E0B">
        <w:rPr>
          <w:sz w:val="24"/>
          <w:szCs w:val="24"/>
        </w:rPr>
        <w:t>eport; and</w:t>
      </w:r>
    </w:p>
    <w:p w14:paraId="7513E90B" w14:textId="1CFC0322" w:rsidR="00F22E0B" w:rsidRPr="00F22E0B" w:rsidRDefault="00F22E0B" w:rsidP="00AC6B5B">
      <w:pPr>
        <w:pStyle w:val="ListParagraph"/>
        <w:numPr>
          <w:ilvl w:val="0"/>
          <w:numId w:val="4"/>
        </w:numPr>
        <w:spacing w:line="240" w:lineRule="auto"/>
        <w:ind w:left="426" w:hanging="426"/>
        <w:contextualSpacing w:val="0"/>
        <w:jc w:val="both"/>
        <w:rPr>
          <w:sz w:val="24"/>
          <w:szCs w:val="24"/>
        </w:rPr>
      </w:pPr>
      <w:r w:rsidRPr="00F22E0B">
        <w:rPr>
          <w:sz w:val="24"/>
          <w:szCs w:val="24"/>
        </w:rPr>
        <w:t xml:space="preserve">the delivery of targets in respect </w:t>
      </w:r>
      <w:r w:rsidR="008202DA" w:rsidRPr="005702E7">
        <w:rPr>
          <w:sz w:val="24"/>
          <w:szCs w:val="24"/>
        </w:rPr>
        <w:t>of</w:t>
      </w:r>
      <w:r w:rsidR="000175FA">
        <w:rPr>
          <w:sz w:val="24"/>
          <w:szCs w:val="24"/>
        </w:rPr>
        <w:t xml:space="preserve"> </w:t>
      </w:r>
      <w:r w:rsidRPr="00F22E0B">
        <w:rPr>
          <w:sz w:val="24"/>
          <w:szCs w:val="24"/>
        </w:rPr>
        <w:t>key external measures e.g. the Teaching Excellence Framework (TEF), the Research Excellence Framework (REF) and the National Student Survey (NSS).</w:t>
      </w:r>
    </w:p>
    <w:p w14:paraId="17E031E0" w14:textId="165B9AD1" w:rsidR="00F22E0B" w:rsidRDefault="00F22E0B" w:rsidP="00AC6B5B">
      <w:pPr>
        <w:spacing w:line="240" w:lineRule="auto"/>
        <w:rPr>
          <w:sz w:val="24"/>
          <w:szCs w:val="24"/>
        </w:rPr>
      </w:pPr>
      <w:r w:rsidRPr="00F22E0B">
        <w:rPr>
          <w:sz w:val="24"/>
          <w:szCs w:val="24"/>
        </w:rPr>
        <w:t xml:space="preserve">Objectives for the Vice-Chancellor, aligned to the University Strategy, are reviewed and recommended by the Chair of the Board, and endorsed by the Committee. </w:t>
      </w:r>
      <w:r w:rsidRPr="0039592D">
        <w:rPr>
          <w:sz w:val="24"/>
          <w:szCs w:val="24"/>
        </w:rPr>
        <w:t>A summary of the</w:t>
      </w:r>
      <w:r w:rsidR="002753B9" w:rsidRPr="0039592D">
        <w:rPr>
          <w:sz w:val="24"/>
          <w:szCs w:val="24"/>
        </w:rPr>
        <w:t xml:space="preserve"> Vice-Chancellor’s</w:t>
      </w:r>
      <w:r w:rsidRPr="0039592D">
        <w:rPr>
          <w:sz w:val="24"/>
          <w:szCs w:val="24"/>
        </w:rPr>
        <w:t xml:space="preserve"> annual </w:t>
      </w:r>
      <w:r w:rsidR="002753B9" w:rsidRPr="0039592D">
        <w:rPr>
          <w:sz w:val="24"/>
          <w:szCs w:val="24"/>
        </w:rPr>
        <w:t>r</w:t>
      </w:r>
      <w:r w:rsidRPr="0039592D">
        <w:rPr>
          <w:sz w:val="24"/>
          <w:szCs w:val="24"/>
        </w:rPr>
        <w:t xml:space="preserve">eview of </w:t>
      </w:r>
      <w:r w:rsidR="002753B9" w:rsidRPr="0039592D">
        <w:rPr>
          <w:sz w:val="24"/>
          <w:szCs w:val="24"/>
        </w:rPr>
        <w:t>p</w:t>
      </w:r>
      <w:r w:rsidRPr="0039592D">
        <w:rPr>
          <w:sz w:val="24"/>
          <w:szCs w:val="24"/>
        </w:rPr>
        <w:t xml:space="preserve">erformance against those objectives was provided to the Remuneration Committee at its </w:t>
      </w:r>
      <w:r w:rsidR="002D40BF">
        <w:rPr>
          <w:sz w:val="24"/>
          <w:szCs w:val="24"/>
        </w:rPr>
        <w:t>Ju</w:t>
      </w:r>
      <w:r w:rsidR="009B71A9">
        <w:rPr>
          <w:sz w:val="24"/>
          <w:szCs w:val="24"/>
        </w:rPr>
        <w:t>ly</w:t>
      </w:r>
      <w:r w:rsidR="002D40BF" w:rsidRPr="0039592D">
        <w:rPr>
          <w:sz w:val="24"/>
          <w:szCs w:val="24"/>
        </w:rPr>
        <w:t xml:space="preserve"> </w:t>
      </w:r>
      <w:r w:rsidRPr="0039592D">
        <w:rPr>
          <w:sz w:val="24"/>
          <w:szCs w:val="24"/>
        </w:rPr>
        <w:t>meeting</w:t>
      </w:r>
      <w:r w:rsidR="00EE18AB">
        <w:rPr>
          <w:sz w:val="24"/>
          <w:szCs w:val="24"/>
        </w:rPr>
        <w:t xml:space="preserve">, together with objectives for the </w:t>
      </w:r>
      <w:r w:rsidR="0024223E">
        <w:rPr>
          <w:sz w:val="24"/>
          <w:szCs w:val="24"/>
        </w:rPr>
        <w:t>2025</w:t>
      </w:r>
      <w:r w:rsidR="00EE18AB">
        <w:rPr>
          <w:sz w:val="24"/>
          <w:szCs w:val="24"/>
        </w:rPr>
        <w:t>/2</w:t>
      </w:r>
      <w:r w:rsidR="0024223E">
        <w:rPr>
          <w:sz w:val="24"/>
          <w:szCs w:val="24"/>
        </w:rPr>
        <w:t>6</w:t>
      </w:r>
      <w:r w:rsidR="00EE18AB">
        <w:rPr>
          <w:sz w:val="24"/>
          <w:szCs w:val="24"/>
        </w:rPr>
        <w:t xml:space="preserve"> academic year</w:t>
      </w:r>
      <w:r w:rsidRPr="0039592D">
        <w:rPr>
          <w:sz w:val="24"/>
          <w:szCs w:val="24"/>
        </w:rPr>
        <w:t>.</w:t>
      </w:r>
    </w:p>
    <w:p w14:paraId="0EE620FD" w14:textId="77777777" w:rsidR="00F22E0B" w:rsidRPr="00F22E0B" w:rsidRDefault="00F22E0B" w:rsidP="00AC6B5B">
      <w:pPr>
        <w:spacing w:line="240" w:lineRule="auto"/>
        <w:jc w:val="both"/>
        <w:rPr>
          <w:rFonts w:cstheme="minorHAnsi"/>
          <w:b/>
          <w:bCs/>
          <w:sz w:val="24"/>
          <w:szCs w:val="24"/>
          <w:u w:val="single"/>
        </w:rPr>
      </w:pPr>
      <w:r w:rsidRPr="00F22E0B">
        <w:rPr>
          <w:rFonts w:cstheme="minorHAnsi"/>
          <w:b/>
          <w:bCs/>
          <w:sz w:val="24"/>
          <w:szCs w:val="24"/>
          <w:u w:val="single"/>
        </w:rPr>
        <w:t xml:space="preserve">Other Board Appointments </w:t>
      </w:r>
    </w:p>
    <w:p w14:paraId="2D8C4FBF" w14:textId="278F8717" w:rsidR="00F22E0B" w:rsidRPr="00F22E0B" w:rsidRDefault="00F22E0B" w:rsidP="00AC6B5B">
      <w:pPr>
        <w:spacing w:line="240" w:lineRule="auto"/>
        <w:rPr>
          <w:sz w:val="24"/>
          <w:szCs w:val="24"/>
        </w:rPr>
      </w:pPr>
      <w:r w:rsidRPr="3C92FEB2">
        <w:rPr>
          <w:sz w:val="24"/>
          <w:szCs w:val="24"/>
        </w:rPr>
        <w:t xml:space="preserve">Objectives for Board Appointments </w:t>
      </w:r>
      <w:r w:rsidR="002753B9" w:rsidRPr="3C92FEB2">
        <w:rPr>
          <w:sz w:val="24"/>
          <w:szCs w:val="24"/>
        </w:rPr>
        <w:t>are</w:t>
      </w:r>
      <w:r w:rsidRPr="3C92FEB2">
        <w:rPr>
          <w:sz w:val="24"/>
          <w:szCs w:val="24"/>
        </w:rPr>
        <w:t xml:space="preserve"> set by the Vice Chancellor</w:t>
      </w:r>
      <w:r w:rsidR="0024223E" w:rsidRPr="3C92FEB2">
        <w:rPr>
          <w:sz w:val="24"/>
          <w:szCs w:val="24"/>
        </w:rPr>
        <w:t xml:space="preserve"> </w:t>
      </w:r>
      <w:r w:rsidRPr="3C92FEB2">
        <w:rPr>
          <w:sz w:val="24"/>
          <w:szCs w:val="24"/>
        </w:rPr>
        <w:t xml:space="preserve">against the University’s </w:t>
      </w:r>
      <w:r w:rsidR="00895413" w:rsidRPr="3C92FEB2">
        <w:rPr>
          <w:sz w:val="24"/>
          <w:szCs w:val="24"/>
        </w:rPr>
        <w:t>Strategic Plan</w:t>
      </w:r>
      <w:r w:rsidRPr="3C92FEB2">
        <w:rPr>
          <w:sz w:val="24"/>
          <w:szCs w:val="24"/>
        </w:rPr>
        <w:t xml:space="preserve">. Following </w:t>
      </w:r>
      <w:r w:rsidR="00AE596F" w:rsidRPr="3C92FEB2">
        <w:rPr>
          <w:sz w:val="24"/>
          <w:szCs w:val="24"/>
        </w:rPr>
        <w:t>a</w:t>
      </w:r>
      <w:r w:rsidRPr="3C92FEB2">
        <w:rPr>
          <w:sz w:val="24"/>
          <w:szCs w:val="24"/>
        </w:rPr>
        <w:t xml:space="preserve">nnual Performance Development Reviews, the evaluation and assessment of individual performance against set objectives will be reviewed by the </w:t>
      </w:r>
      <w:r w:rsidRPr="006D3159">
        <w:rPr>
          <w:sz w:val="24"/>
          <w:szCs w:val="24"/>
        </w:rPr>
        <w:t>Vice-Chancellor</w:t>
      </w:r>
      <w:r w:rsidRPr="3C92FEB2">
        <w:rPr>
          <w:sz w:val="24"/>
          <w:szCs w:val="24"/>
        </w:rPr>
        <w:t>, who make</w:t>
      </w:r>
      <w:r w:rsidR="00DC4541" w:rsidRPr="3C92FEB2">
        <w:rPr>
          <w:sz w:val="24"/>
          <w:szCs w:val="24"/>
        </w:rPr>
        <w:t>s</w:t>
      </w:r>
      <w:r w:rsidRPr="3C92FEB2">
        <w:rPr>
          <w:sz w:val="24"/>
          <w:szCs w:val="24"/>
        </w:rPr>
        <w:t xml:space="preserve"> recommendations to the Remuneration Committee in relation to any adjustments to base salaries </w:t>
      </w:r>
      <w:r w:rsidR="0013577A" w:rsidRPr="3C92FEB2">
        <w:rPr>
          <w:sz w:val="24"/>
          <w:szCs w:val="24"/>
        </w:rPr>
        <w:t xml:space="preserve">and/or </w:t>
      </w:r>
      <w:r w:rsidRPr="3C92FEB2">
        <w:rPr>
          <w:sz w:val="24"/>
          <w:szCs w:val="24"/>
        </w:rPr>
        <w:t>additional allowances.</w:t>
      </w:r>
    </w:p>
    <w:p w14:paraId="7ADC10F3" w14:textId="1CB50661" w:rsidR="00F22E0B" w:rsidRPr="00F22E0B" w:rsidRDefault="00365DAB" w:rsidP="00AC6B5B">
      <w:pPr>
        <w:spacing w:line="240" w:lineRule="auto"/>
        <w:jc w:val="both"/>
        <w:rPr>
          <w:rFonts w:cstheme="minorHAnsi"/>
          <w:b/>
          <w:bCs/>
          <w:sz w:val="24"/>
          <w:szCs w:val="24"/>
          <w:u w:val="single"/>
        </w:rPr>
      </w:pPr>
      <w:r>
        <w:rPr>
          <w:rFonts w:cstheme="minorHAnsi"/>
          <w:b/>
          <w:bCs/>
          <w:sz w:val="24"/>
          <w:szCs w:val="24"/>
          <w:u w:val="single"/>
        </w:rPr>
        <w:t>UEB</w:t>
      </w:r>
      <w:r w:rsidR="00F22E0B" w:rsidRPr="00F22E0B">
        <w:rPr>
          <w:rFonts w:cstheme="minorHAnsi"/>
          <w:b/>
          <w:bCs/>
          <w:sz w:val="24"/>
          <w:szCs w:val="24"/>
          <w:u w:val="single"/>
        </w:rPr>
        <w:t xml:space="preserve"> Members (outside of Board appointments)</w:t>
      </w:r>
    </w:p>
    <w:p w14:paraId="1CBDD35B" w14:textId="10802F5A" w:rsidR="00C9781E" w:rsidRPr="00F22E0B" w:rsidRDefault="005F652C" w:rsidP="00AC6B5B">
      <w:pPr>
        <w:spacing w:line="240" w:lineRule="auto"/>
        <w:rPr>
          <w:rFonts w:cstheme="minorHAnsi"/>
          <w:sz w:val="24"/>
          <w:szCs w:val="24"/>
        </w:rPr>
      </w:pPr>
      <w:r>
        <w:rPr>
          <w:rFonts w:cstheme="minorHAnsi"/>
          <w:sz w:val="24"/>
          <w:szCs w:val="24"/>
        </w:rPr>
        <w:t>O</w:t>
      </w:r>
      <w:r w:rsidR="00F22E0B" w:rsidRPr="00F22E0B">
        <w:rPr>
          <w:rFonts w:cstheme="minorHAnsi"/>
          <w:sz w:val="24"/>
          <w:szCs w:val="24"/>
        </w:rPr>
        <w:t xml:space="preserve">bjectives for all other </w:t>
      </w:r>
      <w:r w:rsidR="00365DAB">
        <w:rPr>
          <w:rFonts w:cstheme="minorHAnsi"/>
          <w:sz w:val="24"/>
          <w:szCs w:val="24"/>
        </w:rPr>
        <w:t>UEB</w:t>
      </w:r>
      <w:r w:rsidR="00F22E0B" w:rsidRPr="00F22E0B">
        <w:rPr>
          <w:rFonts w:cstheme="minorHAnsi"/>
          <w:sz w:val="24"/>
          <w:szCs w:val="24"/>
        </w:rPr>
        <w:t xml:space="preserve"> members </w:t>
      </w:r>
      <w:r w:rsidR="002753B9">
        <w:rPr>
          <w:rFonts w:cstheme="minorHAnsi"/>
          <w:sz w:val="24"/>
          <w:szCs w:val="24"/>
        </w:rPr>
        <w:t>are</w:t>
      </w:r>
      <w:r w:rsidR="00F22E0B" w:rsidRPr="00F22E0B">
        <w:rPr>
          <w:rFonts w:cstheme="minorHAnsi"/>
          <w:sz w:val="24"/>
          <w:szCs w:val="24"/>
        </w:rPr>
        <w:t xml:space="preserve"> set </w:t>
      </w:r>
      <w:r w:rsidR="004F561C">
        <w:rPr>
          <w:rFonts w:cstheme="minorHAnsi"/>
          <w:sz w:val="24"/>
          <w:szCs w:val="24"/>
        </w:rPr>
        <w:t xml:space="preserve">and reviewed </w:t>
      </w:r>
      <w:r w:rsidR="00F22E0B" w:rsidRPr="00F22E0B">
        <w:rPr>
          <w:rFonts w:cstheme="minorHAnsi"/>
          <w:sz w:val="24"/>
          <w:szCs w:val="24"/>
        </w:rPr>
        <w:t>by the Vice Chancellor/Deputy Vice-Chancellor</w:t>
      </w:r>
      <w:r w:rsidR="004F561C">
        <w:rPr>
          <w:rFonts w:cstheme="minorHAnsi"/>
          <w:sz w:val="24"/>
          <w:szCs w:val="24"/>
        </w:rPr>
        <w:t xml:space="preserve"> who then </w:t>
      </w:r>
      <w:r w:rsidR="00F22E0B" w:rsidRPr="00F22E0B">
        <w:rPr>
          <w:rFonts w:cstheme="minorHAnsi"/>
          <w:sz w:val="24"/>
          <w:szCs w:val="24"/>
        </w:rPr>
        <w:t xml:space="preserve">present their decisions to the Remuneration Committee in relation to any adjustments to base salaries </w:t>
      </w:r>
      <w:r w:rsidR="0013577A" w:rsidRPr="00F22E0B">
        <w:rPr>
          <w:rFonts w:cstheme="minorHAnsi"/>
          <w:sz w:val="24"/>
          <w:szCs w:val="24"/>
        </w:rPr>
        <w:t xml:space="preserve">and/or </w:t>
      </w:r>
      <w:r w:rsidR="00F22E0B" w:rsidRPr="00F22E0B">
        <w:rPr>
          <w:rFonts w:cstheme="minorHAnsi"/>
          <w:sz w:val="24"/>
          <w:szCs w:val="24"/>
        </w:rPr>
        <w:t>additional allowances</w:t>
      </w:r>
      <w:r w:rsidR="007C4FC4">
        <w:rPr>
          <w:rFonts w:cstheme="minorHAnsi"/>
          <w:sz w:val="24"/>
          <w:szCs w:val="24"/>
        </w:rPr>
        <w:t>.</w:t>
      </w:r>
    </w:p>
    <w:p w14:paraId="2E81885D" w14:textId="77777777" w:rsidR="00F22E0B" w:rsidRPr="00F22E0B" w:rsidRDefault="00F22E0B" w:rsidP="00AC6B5B">
      <w:pPr>
        <w:pStyle w:val="ListParagraph"/>
        <w:numPr>
          <w:ilvl w:val="0"/>
          <w:numId w:val="7"/>
        </w:numPr>
        <w:spacing w:line="240" w:lineRule="auto"/>
        <w:ind w:left="357" w:hanging="357"/>
        <w:jc w:val="both"/>
        <w:rPr>
          <w:rFonts w:cstheme="minorHAnsi"/>
          <w:b/>
          <w:bCs/>
          <w:sz w:val="24"/>
          <w:szCs w:val="24"/>
        </w:rPr>
      </w:pPr>
      <w:r w:rsidRPr="00F22E0B">
        <w:rPr>
          <w:rFonts w:cstheme="minorHAnsi"/>
          <w:b/>
          <w:bCs/>
          <w:sz w:val="24"/>
          <w:szCs w:val="24"/>
        </w:rPr>
        <w:t>Benchmarking performance against comparator institutions and roles</w:t>
      </w:r>
    </w:p>
    <w:p w14:paraId="3A591EAB" w14:textId="22AA54BA" w:rsidR="00F22E0B" w:rsidRDefault="00F22E0B" w:rsidP="00AC6B5B">
      <w:pPr>
        <w:spacing w:line="240" w:lineRule="auto"/>
        <w:rPr>
          <w:rFonts w:cstheme="minorHAnsi"/>
          <w:sz w:val="24"/>
          <w:szCs w:val="24"/>
        </w:rPr>
      </w:pPr>
      <w:r w:rsidRPr="00F22E0B">
        <w:rPr>
          <w:sz w:val="24"/>
          <w:szCs w:val="24"/>
        </w:rPr>
        <w:t xml:space="preserve">The benchmarking of the salary for the Vice-Chancellor was undertaken on appointment and </w:t>
      </w:r>
      <w:r w:rsidR="0055451F">
        <w:rPr>
          <w:sz w:val="24"/>
          <w:szCs w:val="24"/>
        </w:rPr>
        <w:t>will be</w:t>
      </w:r>
      <w:r w:rsidR="0055451F" w:rsidRPr="00F22E0B">
        <w:rPr>
          <w:sz w:val="24"/>
          <w:szCs w:val="24"/>
        </w:rPr>
        <w:t xml:space="preserve"> </w:t>
      </w:r>
      <w:r w:rsidR="00C75D54">
        <w:rPr>
          <w:sz w:val="24"/>
          <w:szCs w:val="24"/>
        </w:rPr>
        <w:t>reviewed</w:t>
      </w:r>
      <w:r w:rsidR="00C75D54" w:rsidRPr="00F22E0B">
        <w:rPr>
          <w:sz w:val="24"/>
          <w:szCs w:val="24"/>
        </w:rPr>
        <w:t xml:space="preserve"> </w:t>
      </w:r>
      <w:r w:rsidRPr="00F22E0B">
        <w:rPr>
          <w:sz w:val="24"/>
          <w:szCs w:val="24"/>
        </w:rPr>
        <w:t xml:space="preserve">on a </w:t>
      </w:r>
      <w:r w:rsidR="00C75D54">
        <w:rPr>
          <w:sz w:val="24"/>
          <w:szCs w:val="24"/>
        </w:rPr>
        <w:t>regular</w:t>
      </w:r>
      <w:r w:rsidR="00C75D54" w:rsidRPr="00F22E0B">
        <w:rPr>
          <w:sz w:val="24"/>
          <w:szCs w:val="24"/>
        </w:rPr>
        <w:t xml:space="preserve"> </w:t>
      </w:r>
      <w:r w:rsidRPr="00F22E0B">
        <w:rPr>
          <w:sz w:val="24"/>
          <w:szCs w:val="24"/>
        </w:rPr>
        <w:t xml:space="preserve">basis. The choice of comparator organisations will reflect the University’s strategic objectives and the UCEA Senior </w:t>
      </w:r>
      <w:r w:rsidR="00C0721B" w:rsidRPr="005702E7">
        <w:rPr>
          <w:sz w:val="24"/>
          <w:szCs w:val="24"/>
        </w:rPr>
        <w:t>Staff</w:t>
      </w:r>
      <w:r w:rsidR="00C0721B">
        <w:rPr>
          <w:sz w:val="24"/>
          <w:szCs w:val="24"/>
        </w:rPr>
        <w:t xml:space="preserve"> </w:t>
      </w:r>
      <w:r w:rsidRPr="00F22E0B">
        <w:rPr>
          <w:sz w:val="24"/>
          <w:szCs w:val="24"/>
        </w:rPr>
        <w:t xml:space="preserve">Remuneration Survey </w:t>
      </w:r>
      <w:r w:rsidR="00AB5157" w:rsidRPr="139A465B">
        <w:rPr>
          <w:sz w:val="24"/>
          <w:szCs w:val="24"/>
        </w:rPr>
        <w:t>is</w:t>
      </w:r>
      <w:r w:rsidRPr="00F22E0B">
        <w:rPr>
          <w:sz w:val="24"/>
          <w:szCs w:val="24"/>
        </w:rPr>
        <w:t xml:space="preserve"> one of the benchmarking data tools for the University’s senior leadership structure</w:t>
      </w:r>
      <w:r w:rsidR="0055451F">
        <w:rPr>
          <w:sz w:val="24"/>
          <w:szCs w:val="24"/>
        </w:rPr>
        <w:t xml:space="preserve"> in addition to the triennial external benchmarking exercise</w:t>
      </w:r>
      <w:r w:rsidRPr="00F22E0B">
        <w:rPr>
          <w:sz w:val="24"/>
          <w:szCs w:val="24"/>
        </w:rPr>
        <w:t xml:space="preserve">. </w:t>
      </w:r>
    </w:p>
    <w:p w14:paraId="07FA5985" w14:textId="0E4D3470" w:rsidR="00F22E0B" w:rsidRDefault="00F22E0B" w:rsidP="00AC6B5B">
      <w:pPr>
        <w:spacing w:line="240" w:lineRule="auto"/>
        <w:contextualSpacing/>
        <w:rPr>
          <w:rFonts w:cstheme="minorHAnsi"/>
          <w:sz w:val="24"/>
          <w:szCs w:val="24"/>
        </w:rPr>
      </w:pPr>
      <w:r w:rsidRPr="00F22E0B">
        <w:rPr>
          <w:rFonts w:cstheme="minorHAnsi"/>
          <w:sz w:val="24"/>
          <w:szCs w:val="24"/>
        </w:rPr>
        <w:t>Benchmarking is also undertaken for other senior roles. The University is committed to paying competitively to attract and retain the best people for the job. Where significant differences between external market rates and the salary range through job evaluation have been identified, a market supplement based on external benchmarking can be paid.</w:t>
      </w:r>
    </w:p>
    <w:p w14:paraId="2A48FD2A" w14:textId="77777777" w:rsidR="00F22E0B" w:rsidRPr="00F22E0B" w:rsidRDefault="00F22E0B" w:rsidP="00AC6B5B">
      <w:pPr>
        <w:pStyle w:val="ListParagraph"/>
        <w:numPr>
          <w:ilvl w:val="0"/>
          <w:numId w:val="7"/>
        </w:numPr>
        <w:spacing w:line="240" w:lineRule="auto"/>
        <w:ind w:left="357" w:hanging="357"/>
        <w:jc w:val="both"/>
        <w:rPr>
          <w:b/>
          <w:bCs/>
          <w:sz w:val="24"/>
          <w:szCs w:val="24"/>
        </w:rPr>
      </w:pPr>
      <w:bookmarkStart w:id="2" w:name="_Hlk83296901"/>
      <w:r w:rsidRPr="6BB05167">
        <w:rPr>
          <w:b/>
          <w:bCs/>
          <w:sz w:val="24"/>
          <w:szCs w:val="24"/>
        </w:rPr>
        <w:t xml:space="preserve">Pay multiple of head of institution compared to median salary levels </w:t>
      </w:r>
    </w:p>
    <w:p w14:paraId="4D24F06D" w14:textId="504F25AA" w:rsidR="00F22E0B" w:rsidRDefault="00F22E0B" w:rsidP="00AC6B5B">
      <w:pPr>
        <w:spacing w:after="120" w:line="240" w:lineRule="auto"/>
        <w:contextualSpacing/>
        <w:rPr>
          <w:sz w:val="24"/>
          <w:szCs w:val="24"/>
        </w:rPr>
      </w:pPr>
      <w:r w:rsidRPr="00F22E0B">
        <w:rPr>
          <w:sz w:val="24"/>
          <w:szCs w:val="24"/>
        </w:rPr>
        <w:t>The relationship between the Vice Chancellor's remuneration and that for other employees</w:t>
      </w:r>
      <w:r w:rsidR="00B663C8">
        <w:rPr>
          <w:sz w:val="24"/>
          <w:szCs w:val="24"/>
        </w:rPr>
        <w:t xml:space="preserve"> </w:t>
      </w:r>
      <w:r w:rsidR="008448A4">
        <w:rPr>
          <w:sz w:val="24"/>
          <w:szCs w:val="24"/>
        </w:rPr>
        <w:t>is provide</w:t>
      </w:r>
      <w:r w:rsidR="00B663C8">
        <w:rPr>
          <w:sz w:val="24"/>
          <w:szCs w:val="24"/>
        </w:rPr>
        <w:t>d</w:t>
      </w:r>
      <w:r w:rsidR="008448A4">
        <w:rPr>
          <w:sz w:val="24"/>
          <w:szCs w:val="24"/>
        </w:rPr>
        <w:t xml:space="preserve"> below. </w:t>
      </w:r>
      <w:r w:rsidR="00B663C8" w:rsidRPr="00B663C8">
        <w:rPr>
          <w:sz w:val="24"/>
          <w:szCs w:val="24"/>
        </w:rPr>
        <w:t xml:space="preserve">The pay multiple ratios for </w:t>
      </w:r>
      <w:r w:rsidR="002C3BA7" w:rsidRPr="00B663C8">
        <w:rPr>
          <w:sz w:val="24"/>
          <w:szCs w:val="24"/>
        </w:rPr>
        <w:t>202</w:t>
      </w:r>
      <w:r w:rsidR="002C3BA7">
        <w:rPr>
          <w:sz w:val="24"/>
          <w:szCs w:val="24"/>
        </w:rPr>
        <w:t>4</w:t>
      </w:r>
      <w:r w:rsidR="00B663C8" w:rsidRPr="00B663C8">
        <w:rPr>
          <w:sz w:val="24"/>
          <w:szCs w:val="24"/>
        </w:rPr>
        <w:t>/2</w:t>
      </w:r>
      <w:r w:rsidR="002C3BA7">
        <w:rPr>
          <w:sz w:val="24"/>
          <w:szCs w:val="24"/>
        </w:rPr>
        <w:t>5</w:t>
      </w:r>
      <w:r w:rsidR="00B663C8" w:rsidRPr="00B663C8">
        <w:rPr>
          <w:sz w:val="24"/>
          <w:szCs w:val="24"/>
        </w:rPr>
        <w:t xml:space="preserve"> are based on the full-time equivalent salary for the current Vice-Chancellor assuming they had been in the post for the whole financial</w:t>
      </w:r>
      <w:r w:rsidR="00B663C8">
        <w:rPr>
          <w:sz w:val="24"/>
          <w:szCs w:val="24"/>
        </w:rPr>
        <w:t xml:space="preserve"> year.</w:t>
      </w:r>
    </w:p>
    <w:tbl>
      <w:tblPr>
        <w:tblW w:w="7248" w:type="dxa"/>
        <w:tblInd w:w="699" w:type="dxa"/>
        <w:tblLayout w:type="fixed"/>
        <w:tblCellMar>
          <w:left w:w="0" w:type="dxa"/>
          <w:right w:w="0" w:type="dxa"/>
        </w:tblCellMar>
        <w:tblLook w:val="04A0" w:firstRow="1" w:lastRow="0" w:firstColumn="1" w:lastColumn="0" w:noHBand="0" w:noVBand="1"/>
      </w:tblPr>
      <w:tblGrid>
        <w:gridCol w:w="3827"/>
        <w:gridCol w:w="754"/>
        <w:gridCol w:w="754"/>
        <w:gridCol w:w="754"/>
        <w:gridCol w:w="754"/>
        <w:gridCol w:w="405"/>
      </w:tblGrid>
      <w:tr w:rsidR="008E31CE" w:rsidRPr="00F22E0B" w14:paraId="65D0DC2B" w14:textId="77777777" w:rsidTr="14002F5E">
        <w:trPr>
          <w:trHeight w:val="330"/>
        </w:trPr>
        <w:tc>
          <w:tcPr>
            <w:tcW w:w="382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D2859F8" w14:textId="77777777" w:rsidR="008E31CE" w:rsidRPr="00F22E0B" w:rsidRDefault="008E31CE" w:rsidP="00AC6B5B">
            <w:pPr>
              <w:spacing w:before="60" w:after="60" w:line="240" w:lineRule="auto"/>
              <w:rPr>
                <w:rFonts w:eastAsia="Calibri" w:cstheme="minorHAnsi"/>
                <w:b/>
                <w:bCs/>
                <w:color w:val="000000"/>
                <w:sz w:val="24"/>
                <w:szCs w:val="24"/>
                <w:lang w:eastAsia="ja-JP"/>
              </w:rPr>
            </w:pPr>
            <w:bookmarkStart w:id="3" w:name="_Hlk113526964"/>
            <w:r w:rsidRPr="00F22E0B">
              <w:rPr>
                <w:rFonts w:eastAsia="Calibri" w:cstheme="minorHAnsi"/>
                <w:b/>
                <w:bCs/>
                <w:color w:val="000000"/>
                <w:sz w:val="24"/>
                <w:szCs w:val="24"/>
                <w:lang w:eastAsia="ja-JP"/>
              </w:rPr>
              <w:lastRenderedPageBreak/>
              <w:t>Pay multiple based on median FTE salary</w:t>
            </w:r>
          </w:p>
        </w:tc>
        <w:tc>
          <w:tcPr>
            <w:tcW w:w="75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E080662" w14:textId="2260736D" w:rsidR="008E31CE" w:rsidRDefault="008E31CE" w:rsidP="00AC6B5B">
            <w:pPr>
              <w:spacing w:before="60" w:after="60" w:line="240" w:lineRule="auto"/>
              <w:jc w:val="center"/>
              <w:rPr>
                <w:rFonts w:eastAsia="Calibri" w:cstheme="minorHAnsi"/>
                <w:b/>
                <w:bCs/>
                <w:color w:val="000000"/>
                <w:sz w:val="24"/>
                <w:szCs w:val="24"/>
                <w:lang w:eastAsia="ja-JP"/>
              </w:rPr>
            </w:pPr>
            <w:r>
              <w:rPr>
                <w:rFonts w:eastAsia="Calibri" w:cstheme="minorHAnsi"/>
                <w:b/>
                <w:bCs/>
                <w:color w:val="000000"/>
                <w:sz w:val="24"/>
                <w:szCs w:val="24"/>
                <w:lang w:eastAsia="ja-JP"/>
              </w:rPr>
              <w:t>2025</w:t>
            </w:r>
          </w:p>
        </w:tc>
        <w:tc>
          <w:tcPr>
            <w:tcW w:w="75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C5D458E" w14:textId="4D263690" w:rsidR="008E31CE" w:rsidRDefault="008E31CE" w:rsidP="00AC6B5B">
            <w:pPr>
              <w:spacing w:before="60" w:after="60" w:line="240" w:lineRule="auto"/>
              <w:jc w:val="center"/>
              <w:rPr>
                <w:rFonts w:eastAsia="Calibri" w:cstheme="minorHAnsi"/>
                <w:b/>
                <w:bCs/>
                <w:color w:val="000000"/>
                <w:sz w:val="24"/>
                <w:szCs w:val="24"/>
                <w:lang w:eastAsia="ja-JP"/>
              </w:rPr>
            </w:pPr>
            <w:r>
              <w:rPr>
                <w:rFonts w:eastAsia="Calibri" w:cstheme="minorHAnsi"/>
                <w:b/>
                <w:bCs/>
                <w:color w:val="000000"/>
                <w:sz w:val="24"/>
                <w:szCs w:val="24"/>
                <w:lang w:eastAsia="ja-JP"/>
              </w:rPr>
              <w:t>2024</w:t>
            </w:r>
          </w:p>
        </w:tc>
        <w:tc>
          <w:tcPr>
            <w:tcW w:w="75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20E817A" w14:textId="7A460C92" w:rsidR="008E31CE" w:rsidRPr="00F22E0B" w:rsidRDefault="008E31CE" w:rsidP="00AC6B5B">
            <w:pPr>
              <w:spacing w:before="60" w:after="60" w:line="240" w:lineRule="auto"/>
              <w:jc w:val="center"/>
              <w:rPr>
                <w:rFonts w:eastAsia="Calibri" w:cstheme="minorHAnsi"/>
                <w:b/>
                <w:bCs/>
                <w:color w:val="000000"/>
                <w:sz w:val="24"/>
                <w:szCs w:val="24"/>
                <w:lang w:eastAsia="ja-JP"/>
              </w:rPr>
            </w:pPr>
            <w:r>
              <w:rPr>
                <w:rFonts w:eastAsia="Calibri" w:cstheme="minorHAnsi"/>
                <w:b/>
                <w:bCs/>
                <w:color w:val="000000"/>
                <w:sz w:val="24"/>
                <w:szCs w:val="24"/>
                <w:lang w:eastAsia="ja-JP"/>
              </w:rPr>
              <w:t>2023</w:t>
            </w:r>
          </w:p>
        </w:tc>
        <w:tc>
          <w:tcPr>
            <w:tcW w:w="75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01046CD" w14:textId="4741CAD1" w:rsidR="008E31CE" w:rsidRPr="00F22E0B" w:rsidRDefault="008E31CE" w:rsidP="00AC6B5B">
            <w:pPr>
              <w:spacing w:before="60" w:after="60" w:line="240" w:lineRule="auto"/>
              <w:jc w:val="center"/>
              <w:rPr>
                <w:rFonts w:eastAsia="Calibri" w:cstheme="minorHAnsi"/>
                <w:b/>
                <w:bCs/>
                <w:color w:val="000000"/>
                <w:sz w:val="24"/>
                <w:szCs w:val="24"/>
                <w:lang w:eastAsia="ja-JP"/>
              </w:rPr>
            </w:pPr>
            <w:r w:rsidRPr="00F22E0B">
              <w:rPr>
                <w:rFonts w:eastAsia="Calibri" w:cstheme="minorHAnsi"/>
                <w:b/>
                <w:bCs/>
                <w:color w:val="000000"/>
                <w:sz w:val="24"/>
                <w:szCs w:val="24"/>
                <w:lang w:eastAsia="ja-JP"/>
              </w:rPr>
              <w:t>2022</w:t>
            </w:r>
          </w:p>
        </w:tc>
        <w:tc>
          <w:tcPr>
            <w:tcW w:w="405" w:type="dxa"/>
            <w:tcBorders>
              <w:left w:val="single" w:sz="4" w:space="0" w:color="auto"/>
            </w:tcBorders>
          </w:tcPr>
          <w:p w14:paraId="7CDDD8BE" w14:textId="77777777" w:rsidR="008E31CE" w:rsidRPr="00265A83" w:rsidRDefault="008E31CE" w:rsidP="00AC6B5B">
            <w:pPr>
              <w:spacing w:before="60" w:after="60" w:line="240" w:lineRule="auto"/>
              <w:contextualSpacing/>
              <w:rPr>
                <w:rFonts w:eastAsia="Calibri" w:cstheme="minorHAnsi"/>
                <w:color w:val="000000"/>
                <w:sz w:val="20"/>
                <w:szCs w:val="20"/>
                <w:lang w:eastAsia="ja-JP"/>
              </w:rPr>
            </w:pPr>
            <w:r w:rsidRPr="00265A83">
              <w:rPr>
                <w:rFonts w:eastAsia="Calibri" w:cstheme="minorHAnsi"/>
                <w:color w:val="000000"/>
                <w:sz w:val="20"/>
                <w:szCs w:val="20"/>
                <w:lang w:eastAsia="ja-JP"/>
              </w:rPr>
              <w:t>1</w:t>
            </w:r>
          </w:p>
        </w:tc>
      </w:tr>
      <w:tr w:rsidR="008E31CE" w:rsidRPr="00F22E0B" w14:paraId="7D4C868E" w14:textId="77777777" w:rsidTr="14002F5E">
        <w:trPr>
          <w:trHeight w:val="330"/>
        </w:trPr>
        <w:tc>
          <w:tcPr>
            <w:tcW w:w="3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9B543C" w14:textId="77777777" w:rsidR="008E31CE" w:rsidRPr="00F22E0B" w:rsidRDefault="008E31CE" w:rsidP="00AC6B5B">
            <w:pPr>
              <w:spacing w:before="60" w:after="60" w:line="240" w:lineRule="auto"/>
              <w:contextualSpacing/>
              <w:rPr>
                <w:rFonts w:eastAsia="Calibri" w:cstheme="minorHAnsi"/>
                <w:color w:val="000000"/>
                <w:sz w:val="24"/>
                <w:szCs w:val="24"/>
                <w:lang w:eastAsia="ja-JP"/>
              </w:rPr>
            </w:pPr>
            <w:r w:rsidRPr="00F22E0B">
              <w:rPr>
                <w:rFonts w:eastAsia="Calibri" w:cstheme="minorHAnsi"/>
                <w:color w:val="000000"/>
                <w:sz w:val="24"/>
                <w:szCs w:val="24"/>
                <w:lang w:eastAsia="ja-JP"/>
              </w:rPr>
              <w:t>Basic salary</w:t>
            </w:r>
          </w:p>
        </w:tc>
        <w:tc>
          <w:tcPr>
            <w:tcW w:w="754" w:type="dxa"/>
            <w:tcBorders>
              <w:top w:val="nil"/>
              <w:left w:val="nil"/>
              <w:bottom w:val="single" w:sz="8" w:space="0" w:color="auto"/>
              <w:right w:val="nil"/>
            </w:tcBorders>
          </w:tcPr>
          <w:p w14:paraId="53C92420" w14:textId="4DFDFA58" w:rsidR="008E31CE" w:rsidRDefault="009859C2" w:rsidP="00AC6B5B">
            <w:pPr>
              <w:spacing w:before="60" w:after="60" w:line="240" w:lineRule="auto"/>
              <w:contextualSpacing/>
              <w:rPr>
                <w:rFonts w:eastAsia="Calibri" w:cstheme="minorHAnsi"/>
                <w:bCs/>
                <w:sz w:val="24"/>
                <w:szCs w:val="24"/>
                <w:lang w:eastAsia="ja-JP"/>
              </w:rPr>
            </w:pPr>
            <w:r>
              <w:rPr>
                <w:rFonts w:eastAsia="Calibri" w:cstheme="minorHAnsi"/>
                <w:bCs/>
                <w:sz w:val="24"/>
                <w:szCs w:val="24"/>
                <w:lang w:eastAsia="ja-JP"/>
              </w:rPr>
              <w:t>7.40</w:t>
            </w:r>
          </w:p>
        </w:tc>
        <w:tc>
          <w:tcPr>
            <w:tcW w:w="754" w:type="dxa"/>
            <w:tcBorders>
              <w:top w:val="nil"/>
              <w:left w:val="nil"/>
              <w:bottom w:val="single" w:sz="8" w:space="0" w:color="auto"/>
              <w:right w:val="nil"/>
            </w:tcBorders>
          </w:tcPr>
          <w:p w14:paraId="7910123B" w14:textId="0004D0C1" w:rsidR="008E31CE" w:rsidRPr="00311D7B" w:rsidRDefault="008E31CE" w:rsidP="00AC6B5B">
            <w:pPr>
              <w:spacing w:before="60" w:after="60" w:line="240" w:lineRule="auto"/>
              <w:contextualSpacing/>
              <w:rPr>
                <w:rFonts w:eastAsia="Calibri" w:cstheme="minorHAnsi"/>
                <w:bCs/>
                <w:sz w:val="24"/>
                <w:szCs w:val="24"/>
                <w:lang w:eastAsia="ja-JP"/>
              </w:rPr>
            </w:pPr>
            <w:r>
              <w:rPr>
                <w:rFonts w:eastAsia="Calibri" w:cstheme="minorHAnsi"/>
                <w:bCs/>
                <w:sz w:val="24"/>
                <w:szCs w:val="24"/>
                <w:lang w:eastAsia="ja-JP"/>
              </w:rPr>
              <w:t>7.30</w:t>
            </w:r>
          </w:p>
        </w:tc>
        <w:tc>
          <w:tcPr>
            <w:tcW w:w="754" w:type="dxa"/>
            <w:tcBorders>
              <w:top w:val="nil"/>
              <w:left w:val="nil"/>
              <w:bottom w:val="single" w:sz="8" w:space="0" w:color="auto"/>
              <w:right w:val="single" w:sz="8" w:space="0" w:color="auto"/>
            </w:tcBorders>
          </w:tcPr>
          <w:p w14:paraId="660BB9B2" w14:textId="514256FD" w:rsidR="008E31CE" w:rsidRPr="00311D7B" w:rsidRDefault="008E31CE" w:rsidP="00AC6B5B">
            <w:pPr>
              <w:spacing w:before="60" w:after="60" w:line="240" w:lineRule="auto"/>
              <w:contextualSpacing/>
              <w:rPr>
                <w:rFonts w:eastAsia="Calibri" w:cstheme="minorHAnsi"/>
                <w:bCs/>
                <w:sz w:val="24"/>
                <w:szCs w:val="24"/>
                <w:lang w:eastAsia="ja-JP"/>
              </w:rPr>
            </w:pPr>
            <w:r w:rsidRPr="00311D7B">
              <w:rPr>
                <w:rFonts w:eastAsia="Calibri" w:cstheme="minorHAnsi"/>
                <w:bCs/>
                <w:sz w:val="24"/>
                <w:szCs w:val="24"/>
                <w:lang w:eastAsia="ja-JP"/>
              </w:rPr>
              <w:t>7.04</w:t>
            </w:r>
          </w:p>
        </w:tc>
        <w:tc>
          <w:tcPr>
            <w:tcW w:w="754" w:type="dxa"/>
            <w:tcBorders>
              <w:top w:val="nil"/>
              <w:left w:val="single" w:sz="8" w:space="0" w:color="auto"/>
              <w:bottom w:val="single" w:sz="8" w:space="0" w:color="auto"/>
              <w:right w:val="single" w:sz="8" w:space="0" w:color="auto"/>
            </w:tcBorders>
            <w:vAlign w:val="center"/>
          </w:tcPr>
          <w:p w14:paraId="19FB49E1" w14:textId="4189FF16" w:rsidR="008E31CE" w:rsidRPr="00C9781E" w:rsidRDefault="008E31CE" w:rsidP="00AC6B5B">
            <w:pPr>
              <w:spacing w:before="60" w:after="60" w:line="240" w:lineRule="auto"/>
              <w:contextualSpacing/>
              <w:rPr>
                <w:rFonts w:eastAsia="Calibri" w:cstheme="minorHAnsi"/>
                <w:bCs/>
                <w:color w:val="000000"/>
                <w:sz w:val="24"/>
                <w:szCs w:val="24"/>
                <w:lang w:eastAsia="ja-JP"/>
              </w:rPr>
            </w:pPr>
            <w:r w:rsidRPr="00C9781E">
              <w:rPr>
                <w:rFonts w:eastAsia="Calibri" w:cstheme="minorHAnsi"/>
                <w:bCs/>
                <w:color w:val="000000"/>
                <w:sz w:val="24"/>
                <w:szCs w:val="24"/>
                <w:lang w:eastAsia="ja-JP"/>
              </w:rPr>
              <w:t>7.10</w:t>
            </w:r>
          </w:p>
        </w:tc>
        <w:tc>
          <w:tcPr>
            <w:tcW w:w="405" w:type="dxa"/>
            <w:tcBorders>
              <w:top w:val="nil"/>
              <w:left w:val="single" w:sz="4" w:space="0" w:color="auto"/>
            </w:tcBorders>
          </w:tcPr>
          <w:p w14:paraId="27798E15" w14:textId="77777777" w:rsidR="008E31CE" w:rsidRPr="00F22E0B" w:rsidRDefault="008E31CE" w:rsidP="00AC6B5B">
            <w:pPr>
              <w:spacing w:before="60" w:after="60" w:line="240" w:lineRule="auto"/>
              <w:contextualSpacing/>
              <w:rPr>
                <w:rFonts w:eastAsia="Calibri" w:cstheme="minorHAnsi"/>
                <w:color w:val="000000"/>
                <w:sz w:val="24"/>
                <w:szCs w:val="24"/>
                <w:lang w:eastAsia="ja-JP"/>
              </w:rPr>
            </w:pPr>
          </w:p>
        </w:tc>
      </w:tr>
      <w:tr w:rsidR="008E31CE" w:rsidRPr="00F22E0B" w14:paraId="2B4E6630" w14:textId="77777777" w:rsidTr="00217F92">
        <w:trPr>
          <w:trHeight w:val="300"/>
        </w:trPr>
        <w:tc>
          <w:tcPr>
            <w:tcW w:w="38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D2E800" w14:textId="77777777" w:rsidR="008E31CE" w:rsidRPr="00F22E0B" w:rsidRDefault="008E31CE" w:rsidP="00AC6B5B">
            <w:pPr>
              <w:spacing w:before="60" w:after="60" w:line="240" w:lineRule="auto"/>
              <w:contextualSpacing/>
              <w:rPr>
                <w:rFonts w:eastAsia="Calibri" w:cstheme="minorHAnsi"/>
                <w:color w:val="000000"/>
                <w:sz w:val="24"/>
                <w:szCs w:val="24"/>
                <w:lang w:eastAsia="ja-JP"/>
              </w:rPr>
            </w:pPr>
            <w:r w:rsidRPr="00F22E0B">
              <w:rPr>
                <w:rFonts w:eastAsia="Calibri" w:cstheme="minorHAnsi"/>
                <w:color w:val="000000"/>
                <w:sz w:val="24"/>
                <w:szCs w:val="24"/>
                <w:lang w:eastAsia="ja-JP"/>
              </w:rPr>
              <w:t>Total remuneration (including pension contributions)</w:t>
            </w:r>
          </w:p>
        </w:tc>
        <w:tc>
          <w:tcPr>
            <w:tcW w:w="754" w:type="dxa"/>
            <w:tcBorders>
              <w:top w:val="nil"/>
              <w:left w:val="nil"/>
              <w:bottom w:val="single" w:sz="8" w:space="0" w:color="auto"/>
              <w:right w:val="nil"/>
            </w:tcBorders>
          </w:tcPr>
          <w:p w14:paraId="1ADBB84B" w14:textId="7DA60A89" w:rsidR="008E31CE" w:rsidRDefault="009859C2" w:rsidP="00AC6B5B">
            <w:pPr>
              <w:spacing w:before="60" w:after="60" w:line="240" w:lineRule="auto"/>
              <w:contextualSpacing/>
              <w:rPr>
                <w:rFonts w:eastAsia="Calibri" w:cstheme="minorHAnsi"/>
                <w:bCs/>
                <w:sz w:val="24"/>
                <w:szCs w:val="24"/>
                <w:lang w:eastAsia="ja-JP"/>
              </w:rPr>
            </w:pPr>
            <w:r>
              <w:rPr>
                <w:rFonts w:eastAsia="Calibri" w:cstheme="minorHAnsi"/>
                <w:bCs/>
                <w:sz w:val="24"/>
                <w:szCs w:val="24"/>
                <w:lang w:eastAsia="ja-JP"/>
              </w:rPr>
              <w:t>8.55</w:t>
            </w:r>
          </w:p>
        </w:tc>
        <w:tc>
          <w:tcPr>
            <w:tcW w:w="754" w:type="dxa"/>
            <w:tcBorders>
              <w:top w:val="nil"/>
              <w:left w:val="nil"/>
              <w:bottom w:val="single" w:sz="8" w:space="0" w:color="auto"/>
              <w:right w:val="nil"/>
            </w:tcBorders>
          </w:tcPr>
          <w:p w14:paraId="0773ACB9" w14:textId="7D35FA99" w:rsidR="008E31CE" w:rsidRPr="00311D7B" w:rsidRDefault="008E31CE" w:rsidP="00AC6B5B">
            <w:pPr>
              <w:spacing w:before="60" w:after="60" w:line="240" w:lineRule="auto"/>
              <w:contextualSpacing/>
              <w:rPr>
                <w:rFonts w:eastAsia="Calibri" w:cstheme="minorHAnsi"/>
                <w:bCs/>
                <w:sz w:val="24"/>
                <w:szCs w:val="24"/>
                <w:lang w:eastAsia="ja-JP"/>
              </w:rPr>
            </w:pPr>
            <w:r>
              <w:rPr>
                <w:rFonts w:eastAsia="Calibri" w:cstheme="minorHAnsi"/>
                <w:bCs/>
                <w:sz w:val="24"/>
                <w:szCs w:val="24"/>
                <w:lang w:eastAsia="ja-JP"/>
              </w:rPr>
              <w:t>8.88</w:t>
            </w:r>
          </w:p>
        </w:tc>
        <w:tc>
          <w:tcPr>
            <w:tcW w:w="754" w:type="dxa"/>
            <w:tcBorders>
              <w:top w:val="nil"/>
              <w:left w:val="nil"/>
              <w:bottom w:val="single" w:sz="8" w:space="0" w:color="auto"/>
              <w:right w:val="single" w:sz="8" w:space="0" w:color="auto"/>
            </w:tcBorders>
          </w:tcPr>
          <w:p w14:paraId="24B5EF33" w14:textId="789857F8" w:rsidR="008E31CE" w:rsidRPr="00311D7B" w:rsidRDefault="008E31CE" w:rsidP="00AC6B5B">
            <w:pPr>
              <w:spacing w:before="60" w:after="60" w:line="240" w:lineRule="auto"/>
              <w:contextualSpacing/>
              <w:rPr>
                <w:rFonts w:eastAsia="Calibri" w:cstheme="minorHAnsi"/>
                <w:bCs/>
                <w:sz w:val="24"/>
                <w:szCs w:val="24"/>
                <w:lang w:eastAsia="ja-JP"/>
              </w:rPr>
            </w:pPr>
            <w:r w:rsidRPr="00311D7B">
              <w:rPr>
                <w:rFonts w:eastAsia="Calibri" w:cstheme="minorHAnsi"/>
                <w:bCs/>
                <w:sz w:val="24"/>
                <w:szCs w:val="24"/>
                <w:lang w:eastAsia="ja-JP"/>
              </w:rPr>
              <w:t>7.32</w:t>
            </w:r>
          </w:p>
        </w:tc>
        <w:tc>
          <w:tcPr>
            <w:tcW w:w="754" w:type="dxa"/>
            <w:tcBorders>
              <w:top w:val="nil"/>
              <w:left w:val="single" w:sz="8" w:space="0" w:color="auto"/>
              <w:bottom w:val="single" w:sz="8" w:space="0" w:color="auto"/>
              <w:right w:val="single" w:sz="8" w:space="0" w:color="auto"/>
            </w:tcBorders>
          </w:tcPr>
          <w:p w14:paraId="651B2FEC" w14:textId="6ADFBF2C" w:rsidR="008E31CE" w:rsidRPr="00C0721B" w:rsidRDefault="008E31CE" w:rsidP="00AC6B5B">
            <w:pPr>
              <w:spacing w:before="60" w:after="60" w:line="240" w:lineRule="auto"/>
              <w:contextualSpacing/>
              <w:rPr>
                <w:rFonts w:eastAsia="Calibri" w:cstheme="minorHAnsi"/>
                <w:bCs/>
                <w:color w:val="000000"/>
                <w:sz w:val="24"/>
                <w:szCs w:val="24"/>
                <w:lang w:eastAsia="ja-JP"/>
              </w:rPr>
            </w:pPr>
            <w:r w:rsidRPr="00C0721B">
              <w:rPr>
                <w:rFonts w:eastAsia="Calibri" w:cstheme="minorHAnsi"/>
                <w:bCs/>
                <w:color w:val="000000"/>
                <w:sz w:val="24"/>
                <w:szCs w:val="24"/>
                <w:lang w:eastAsia="ja-JP"/>
              </w:rPr>
              <w:t>7.39</w:t>
            </w:r>
          </w:p>
        </w:tc>
        <w:tc>
          <w:tcPr>
            <w:tcW w:w="405" w:type="dxa"/>
            <w:tcBorders>
              <w:top w:val="nil"/>
              <w:left w:val="single" w:sz="4" w:space="0" w:color="auto"/>
            </w:tcBorders>
          </w:tcPr>
          <w:p w14:paraId="2D3026D4" w14:textId="77777777" w:rsidR="008E31CE" w:rsidRPr="00265A83" w:rsidRDefault="008E31CE" w:rsidP="00AC6B5B">
            <w:pPr>
              <w:spacing w:before="60" w:after="60" w:line="240" w:lineRule="auto"/>
              <w:contextualSpacing/>
              <w:rPr>
                <w:rFonts w:eastAsia="Calibri" w:cstheme="minorHAnsi"/>
                <w:color w:val="000000"/>
                <w:sz w:val="20"/>
                <w:szCs w:val="20"/>
                <w:lang w:eastAsia="ja-JP"/>
              </w:rPr>
            </w:pPr>
            <w:r w:rsidRPr="00265A83">
              <w:rPr>
                <w:rFonts w:eastAsia="Calibri" w:cstheme="minorHAnsi"/>
                <w:color w:val="000000"/>
                <w:sz w:val="20"/>
                <w:szCs w:val="20"/>
                <w:lang w:eastAsia="ja-JP"/>
              </w:rPr>
              <w:t>2</w:t>
            </w:r>
          </w:p>
        </w:tc>
      </w:tr>
    </w:tbl>
    <w:bookmarkEnd w:id="3"/>
    <w:p w14:paraId="79B30ABD" w14:textId="77777777" w:rsidR="00F22E0B" w:rsidRPr="00265A83" w:rsidRDefault="00F22E0B" w:rsidP="00AC6B5B">
      <w:pPr>
        <w:pStyle w:val="NoSpacing"/>
        <w:spacing w:before="60"/>
        <w:ind w:left="851" w:hanging="142"/>
        <w:contextualSpacing/>
        <w:rPr>
          <w:rFonts w:asciiTheme="minorHAnsi" w:hAnsiTheme="minorHAnsi" w:cstheme="minorHAnsi"/>
          <w:i/>
          <w:iCs/>
          <w:sz w:val="20"/>
        </w:rPr>
      </w:pPr>
      <w:r w:rsidRPr="00265A83">
        <w:rPr>
          <w:rFonts w:asciiTheme="minorHAnsi" w:hAnsiTheme="minorHAnsi" w:cstheme="minorHAnsi"/>
          <w:sz w:val="20"/>
        </w:rPr>
        <w:t>1</w:t>
      </w:r>
      <w:r w:rsidRPr="00265A83">
        <w:rPr>
          <w:rFonts w:asciiTheme="minorHAnsi" w:hAnsiTheme="minorHAnsi" w:cstheme="minorHAnsi"/>
          <w:i/>
          <w:iCs/>
          <w:sz w:val="20"/>
        </w:rPr>
        <w:t xml:space="preserve"> Based on OfS Accounts Direction. </w:t>
      </w:r>
    </w:p>
    <w:p w14:paraId="64AFE38D" w14:textId="77777777" w:rsidR="00F22E0B" w:rsidRDefault="00F22E0B" w:rsidP="00AC6B5B">
      <w:pPr>
        <w:pStyle w:val="NoSpacing"/>
        <w:spacing w:after="120"/>
        <w:ind w:left="851" w:hanging="142"/>
        <w:rPr>
          <w:rFonts w:asciiTheme="minorHAnsi" w:hAnsiTheme="minorHAnsi" w:cstheme="minorHAnsi"/>
          <w:i/>
          <w:iCs/>
          <w:szCs w:val="24"/>
        </w:rPr>
      </w:pPr>
      <w:r w:rsidRPr="00265A83">
        <w:rPr>
          <w:rFonts w:asciiTheme="minorHAnsi" w:hAnsiTheme="minorHAnsi" w:cstheme="minorHAnsi"/>
          <w:sz w:val="20"/>
        </w:rPr>
        <w:t xml:space="preserve">2 </w:t>
      </w:r>
      <w:r w:rsidRPr="00265A83">
        <w:rPr>
          <w:rFonts w:asciiTheme="minorHAnsi" w:hAnsiTheme="minorHAnsi" w:cstheme="minorHAnsi"/>
          <w:i/>
          <w:iCs/>
          <w:sz w:val="20"/>
        </w:rPr>
        <w:t>In line with the definition of total remuneration in the OfS guidance</w:t>
      </w:r>
      <w:r w:rsidRPr="00F22E0B">
        <w:rPr>
          <w:rFonts w:asciiTheme="minorHAnsi" w:hAnsiTheme="minorHAnsi" w:cstheme="minorHAnsi"/>
          <w:i/>
          <w:iCs/>
          <w:szCs w:val="24"/>
        </w:rPr>
        <w:tab/>
      </w:r>
    </w:p>
    <w:bookmarkEnd w:id="2"/>
    <w:p w14:paraId="4C1C6AA6" w14:textId="49D72F6B" w:rsidR="00F22E0B" w:rsidRPr="00F22E0B" w:rsidRDefault="00F22E0B" w:rsidP="00AC6B5B">
      <w:pPr>
        <w:pStyle w:val="ListParagraph"/>
        <w:numPr>
          <w:ilvl w:val="0"/>
          <w:numId w:val="7"/>
        </w:numPr>
        <w:spacing w:line="240" w:lineRule="auto"/>
        <w:ind w:left="357" w:hanging="357"/>
        <w:contextualSpacing w:val="0"/>
        <w:jc w:val="both"/>
        <w:rPr>
          <w:rFonts w:cstheme="minorHAnsi"/>
          <w:b/>
          <w:bCs/>
          <w:sz w:val="24"/>
          <w:szCs w:val="24"/>
        </w:rPr>
      </w:pPr>
      <w:r w:rsidRPr="00F22E0B">
        <w:rPr>
          <w:rFonts w:cstheme="minorHAnsi"/>
          <w:b/>
          <w:bCs/>
          <w:sz w:val="24"/>
          <w:szCs w:val="24"/>
        </w:rPr>
        <w:t xml:space="preserve">Vice-Chancellor Remuneration: </w:t>
      </w:r>
      <w:r w:rsidR="00C46920" w:rsidRPr="00F22E0B">
        <w:rPr>
          <w:rFonts w:cstheme="minorHAnsi"/>
          <w:b/>
          <w:bCs/>
          <w:sz w:val="24"/>
          <w:szCs w:val="24"/>
        </w:rPr>
        <w:t>20</w:t>
      </w:r>
      <w:r w:rsidR="00C46920">
        <w:rPr>
          <w:rFonts w:cstheme="minorHAnsi"/>
          <w:b/>
          <w:bCs/>
          <w:sz w:val="24"/>
          <w:szCs w:val="24"/>
        </w:rPr>
        <w:t>21</w:t>
      </w:r>
      <w:r w:rsidR="004D48BD">
        <w:rPr>
          <w:rFonts w:cstheme="minorHAnsi"/>
          <w:b/>
          <w:bCs/>
          <w:sz w:val="24"/>
          <w:szCs w:val="24"/>
        </w:rPr>
        <w:t>/</w:t>
      </w:r>
      <w:r w:rsidR="00C46920">
        <w:rPr>
          <w:rFonts w:cstheme="minorHAnsi"/>
          <w:b/>
          <w:bCs/>
          <w:sz w:val="24"/>
          <w:szCs w:val="24"/>
        </w:rPr>
        <w:t>22</w:t>
      </w:r>
      <w:r w:rsidR="00C46920" w:rsidRPr="00F22E0B">
        <w:rPr>
          <w:rFonts w:cstheme="minorHAnsi"/>
          <w:b/>
          <w:bCs/>
          <w:sz w:val="24"/>
          <w:szCs w:val="24"/>
        </w:rPr>
        <w:t xml:space="preserve"> </w:t>
      </w:r>
      <w:r w:rsidRPr="00F22E0B">
        <w:rPr>
          <w:rFonts w:cstheme="minorHAnsi"/>
          <w:b/>
          <w:bCs/>
          <w:sz w:val="24"/>
          <w:szCs w:val="24"/>
        </w:rPr>
        <w:t xml:space="preserve">– </w:t>
      </w:r>
      <w:r w:rsidR="00933117" w:rsidRPr="00F22E0B">
        <w:rPr>
          <w:rFonts w:cstheme="minorHAnsi"/>
          <w:b/>
          <w:bCs/>
          <w:sz w:val="24"/>
          <w:szCs w:val="24"/>
        </w:rPr>
        <w:t>20</w:t>
      </w:r>
      <w:r w:rsidR="00933117">
        <w:rPr>
          <w:rFonts w:cstheme="minorHAnsi"/>
          <w:b/>
          <w:bCs/>
          <w:sz w:val="24"/>
          <w:szCs w:val="24"/>
        </w:rPr>
        <w:t>24</w:t>
      </w:r>
      <w:r w:rsidR="004D48BD">
        <w:rPr>
          <w:rFonts w:cstheme="minorHAnsi"/>
          <w:b/>
          <w:bCs/>
          <w:sz w:val="24"/>
          <w:szCs w:val="24"/>
        </w:rPr>
        <w:t>/</w:t>
      </w:r>
      <w:r w:rsidR="00933117">
        <w:rPr>
          <w:rFonts w:cstheme="minorHAnsi"/>
          <w:b/>
          <w:bCs/>
          <w:sz w:val="24"/>
          <w:szCs w:val="24"/>
        </w:rPr>
        <w:t>25</w:t>
      </w:r>
      <w:r w:rsidR="00933117" w:rsidRPr="00F22E0B">
        <w:rPr>
          <w:rFonts w:cstheme="minorHAnsi"/>
          <w:b/>
          <w:bCs/>
          <w:sz w:val="24"/>
          <w:szCs w:val="24"/>
        </w:rPr>
        <w:t xml:space="preserve"> </w:t>
      </w:r>
      <w:r w:rsidRPr="00F22E0B">
        <w:rPr>
          <w:rFonts w:cstheme="minorHAnsi"/>
          <w:b/>
          <w:bCs/>
          <w:sz w:val="24"/>
          <w:szCs w:val="24"/>
        </w:rPr>
        <w:t>Comparison</w:t>
      </w:r>
    </w:p>
    <w:tbl>
      <w:tblPr>
        <w:tblStyle w:val="TableGrid"/>
        <w:tblW w:w="0" w:type="auto"/>
        <w:tblInd w:w="812" w:type="dxa"/>
        <w:tblLayout w:type="fixed"/>
        <w:tblLook w:val="04A0" w:firstRow="1" w:lastRow="0" w:firstColumn="1" w:lastColumn="0" w:noHBand="0" w:noVBand="1"/>
      </w:tblPr>
      <w:tblGrid>
        <w:gridCol w:w="3323"/>
        <w:gridCol w:w="1080"/>
        <w:gridCol w:w="1170"/>
        <w:gridCol w:w="1170"/>
        <w:gridCol w:w="1170"/>
      </w:tblGrid>
      <w:tr w:rsidR="00B36B4E" w:rsidRPr="00F22E0B" w14:paraId="1F4FF71F" w14:textId="77777777" w:rsidTr="00357FDE">
        <w:trPr>
          <w:trHeight w:val="340"/>
        </w:trPr>
        <w:tc>
          <w:tcPr>
            <w:tcW w:w="3323" w:type="dxa"/>
            <w:shd w:val="clear" w:color="auto" w:fill="D9D9D9" w:themeFill="background1" w:themeFillShade="D9"/>
            <w:vAlign w:val="center"/>
          </w:tcPr>
          <w:p w14:paraId="79344D13" w14:textId="77777777" w:rsidR="00E624B0" w:rsidRPr="00F22E0B" w:rsidRDefault="00E624B0" w:rsidP="00AC6B5B">
            <w:pPr>
              <w:contextualSpacing/>
              <w:rPr>
                <w:rFonts w:cstheme="minorHAnsi"/>
                <w:sz w:val="24"/>
                <w:szCs w:val="24"/>
              </w:rPr>
            </w:pPr>
            <w:r w:rsidRPr="00F22E0B">
              <w:rPr>
                <w:rFonts w:eastAsia="Calibri" w:cstheme="minorHAnsi"/>
                <w:b/>
                <w:bCs/>
                <w:color w:val="000000"/>
                <w:sz w:val="24"/>
                <w:szCs w:val="24"/>
                <w:lang w:eastAsia="ja-JP"/>
              </w:rPr>
              <w:t>REMUNERATION DETAILS</w:t>
            </w:r>
          </w:p>
        </w:tc>
        <w:tc>
          <w:tcPr>
            <w:tcW w:w="1080" w:type="dxa"/>
            <w:shd w:val="clear" w:color="auto" w:fill="D9D9D9" w:themeFill="background1" w:themeFillShade="D9"/>
          </w:tcPr>
          <w:p w14:paraId="70FFF391" w14:textId="4829D030" w:rsidR="00E624B0" w:rsidRPr="000C73FC" w:rsidRDefault="00E624B0" w:rsidP="00AC6B5B">
            <w:pPr>
              <w:contextualSpacing/>
              <w:rPr>
                <w:rFonts w:eastAsia="Calibri" w:cstheme="minorHAnsi"/>
                <w:b/>
                <w:bCs/>
                <w:color w:val="000000"/>
                <w:sz w:val="24"/>
                <w:szCs w:val="24"/>
                <w:lang w:eastAsia="ja-JP"/>
              </w:rPr>
            </w:pPr>
            <w:r w:rsidRPr="000C73FC">
              <w:rPr>
                <w:rFonts w:eastAsia="Calibri" w:cstheme="minorHAnsi"/>
                <w:b/>
                <w:bCs/>
                <w:color w:val="000000"/>
                <w:sz w:val="24"/>
                <w:szCs w:val="24"/>
                <w:lang w:eastAsia="ja-JP"/>
              </w:rPr>
              <w:t>2024/5</w:t>
            </w:r>
          </w:p>
        </w:tc>
        <w:tc>
          <w:tcPr>
            <w:tcW w:w="1170" w:type="dxa"/>
            <w:shd w:val="clear" w:color="auto" w:fill="D9D9D9" w:themeFill="background1" w:themeFillShade="D9"/>
          </w:tcPr>
          <w:p w14:paraId="6CCCC126" w14:textId="357F283C" w:rsidR="00E624B0" w:rsidRPr="000C73FC" w:rsidRDefault="00E624B0" w:rsidP="00AC6B5B">
            <w:pPr>
              <w:contextualSpacing/>
              <w:rPr>
                <w:rFonts w:eastAsia="Calibri" w:cstheme="minorHAnsi"/>
                <w:b/>
                <w:bCs/>
                <w:color w:val="000000"/>
                <w:sz w:val="24"/>
                <w:szCs w:val="24"/>
                <w:lang w:eastAsia="ja-JP"/>
              </w:rPr>
            </w:pPr>
            <w:r w:rsidRPr="000C73FC">
              <w:rPr>
                <w:rFonts w:eastAsia="Calibri" w:cstheme="minorHAnsi"/>
                <w:b/>
                <w:bCs/>
                <w:color w:val="000000"/>
                <w:sz w:val="24"/>
                <w:szCs w:val="24"/>
                <w:lang w:eastAsia="ja-JP"/>
              </w:rPr>
              <w:t>2023/4</w:t>
            </w:r>
          </w:p>
        </w:tc>
        <w:tc>
          <w:tcPr>
            <w:tcW w:w="1170" w:type="dxa"/>
            <w:shd w:val="clear" w:color="auto" w:fill="D9D9D9" w:themeFill="background1" w:themeFillShade="D9"/>
          </w:tcPr>
          <w:p w14:paraId="4F22BA98" w14:textId="7E9A9C03" w:rsidR="00E624B0" w:rsidRPr="000C73FC" w:rsidRDefault="00E624B0" w:rsidP="00AC6B5B">
            <w:pPr>
              <w:contextualSpacing/>
              <w:rPr>
                <w:rFonts w:eastAsia="Calibri" w:cstheme="minorHAnsi"/>
                <w:b/>
                <w:bCs/>
                <w:color w:val="000000"/>
                <w:sz w:val="24"/>
                <w:szCs w:val="24"/>
                <w:lang w:eastAsia="ja-JP"/>
              </w:rPr>
            </w:pPr>
            <w:r w:rsidRPr="000C73FC">
              <w:rPr>
                <w:rFonts w:eastAsia="Calibri" w:cstheme="minorHAnsi"/>
                <w:b/>
                <w:bCs/>
                <w:color w:val="000000"/>
                <w:sz w:val="24"/>
                <w:szCs w:val="24"/>
                <w:lang w:eastAsia="ja-JP"/>
              </w:rPr>
              <w:t>2022/3</w:t>
            </w:r>
          </w:p>
        </w:tc>
        <w:tc>
          <w:tcPr>
            <w:tcW w:w="1170" w:type="dxa"/>
            <w:shd w:val="clear" w:color="auto" w:fill="D9D9D9" w:themeFill="background1" w:themeFillShade="D9"/>
          </w:tcPr>
          <w:p w14:paraId="667DCBE2" w14:textId="32BF3777" w:rsidR="00E624B0" w:rsidRPr="000C73FC" w:rsidRDefault="00E624B0" w:rsidP="00AC6B5B">
            <w:pPr>
              <w:contextualSpacing/>
              <w:rPr>
                <w:rFonts w:eastAsia="Calibri" w:cstheme="minorHAnsi"/>
                <w:b/>
                <w:bCs/>
                <w:color w:val="000000"/>
                <w:sz w:val="24"/>
                <w:szCs w:val="24"/>
                <w:lang w:eastAsia="ja-JP"/>
              </w:rPr>
            </w:pPr>
            <w:r w:rsidRPr="000C73FC">
              <w:rPr>
                <w:rFonts w:eastAsia="Calibri" w:cstheme="minorHAnsi"/>
                <w:b/>
                <w:bCs/>
                <w:color w:val="000000"/>
                <w:sz w:val="24"/>
                <w:szCs w:val="24"/>
                <w:lang w:eastAsia="ja-JP"/>
              </w:rPr>
              <w:t>2021/2</w:t>
            </w:r>
          </w:p>
        </w:tc>
      </w:tr>
      <w:tr w:rsidR="00B36B4E" w:rsidRPr="00F22E0B" w14:paraId="0109F811" w14:textId="77777777" w:rsidTr="00357FDE">
        <w:trPr>
          <w:trHeight w:val="340"/>
        </w:trPr>
        <w:tc>
          <w:tcPr>
            <w:tcW w:w="3323" w:type="dxa"/>
            <w:vAlign w:val="center"/>
          </w:tcPr>
          <w:p w14:paraId="59C81310" w14:textId="77777777" w:rsidR="00E624B0" w:rsidRPr="00F22E0B" w:rsidRDefault="00E624B0" w:rsidP="00AC6B5B">
            <w:pPr>
              <w:spacing w:before="60" w:after="60"/>
              <w:rPr>
                <w:rFonts w:cstheme="minorHAnsi"/>
                <w:sz w:val="24"/>
                <w:szCs w:val="24"/>
              </w:rPr>
            </w:pPr>
            <w:r w:rsidRPr="00F22E0B">
              <w:rPr>
                <w:rFonts w:eastAsia="Calibri" w:cstheme="minorHAnsi"/>
                <w:color w:val="000000"/>
                <w:sz w:val="24"/>
                <w:szCs w:val="24"/>
                <w:lang w:eastAsia="ja-JP"/>
              </w:rPr>
              <w:t>Basic salary</w:t>
            </w:r>
          </w:p>
        </w:tc>
        <w:tc>
          <w:tcPr>
            <w:tcW w:w="1080" w:type="dxa"/>
          </w:tcPr>
          <w:p w14:paraId="03172DEE" w14:textId="20601C01" w:rsidR="00E624B0" w:rsidRPr="00FD0097" w:rsidRDefault="009859C2" w:rsidP="00AC6B5B">
            <w:pPr>
              <w:spacing w:before="60" w:after="60"/>
            </w:pPr>
            <w:r w:rsidRPr="00FD0097">
              <w:t>£260,000</w:t>
            </w:r>
          </w:p>
        </w:tc>
        <w:tc>
          <w:tcPr>
            <w:tcW w:w="1170" w:type="dxa"/>
          </w:tcPr>
          <w:p w14:paraId="4BBB45F6" w14:textId="0B3B757F" w:rsidR="00E624B0" w:rsidRPr="005D43B1" w:rsidRDefault="00E624B0" w:rsidP="00AC6B5B">
            <w:pPr>
              <w:spacing w:before="60" w:after="60"/>
            </w:pPr>
            <w:r w:rsidRPr="005D43B1">
              <w:t>£260,000</w:t>
            </w:r>
            <w:r w:rsidRPr="005D43B1">
              <w:rPr>
                <w:vertAlign w:val="superscript"/>
              </w:rPr>
              <w:t>1</w:t>
            </w:r>
          </w:p>
        </w:tc>
        <w:tc>
          <w:tcPr>
            <w:tcW w:w="1170" w:type="dxa"/>
          </w:tcPr>
          <w:p w14:paraId="4EF21BCC" w14:textId="061AC319" w:rsidR="00E624B0" w:rsidRPr="005D43B1" w:rsidRDefault="00E624B0" w:rsidP="00AC6B5B">
            <w:pPr>
              <w:spacing w:before="60" w:after="60"/>
            </w:pPr>
            <w:r w:rsidRPr="005D43B1">
              <w:t>£253,417</w:t>
            </w:r>
          </w:p>
        </w:tc>
        <w:tc>
          <w:tcPr>
            <w:tcW w:w="1170" w:type="dxa"/>
          </w:tcPr>
          <w:p w14:paraId="6B9037FF" w14:textId="24CDF054" w:rsidR="00E624B0" w:rsidRPr="005D43B1" w:rsidRDefault="00E624B0" w:rsidP="00AC6B5B">
            <w:pPr>
              <w:spacing w:before="60" w:after="60"/>
            </w:pPr>
            <w:r w:rsidRPr="005D43B1">
              <w:t>£</w:t>
            </w:r>
            <w:r w:rsidR="00106E2C" w:rsidRPr="000C73FC">
              <w:t>243</w:t>
            </w:r>
            <w:r w:rsidR="00106E2C">
              <w:t>,000</w:t>
            </w:r>
            <w:r w:rsidR="00106E2C" w:rsidRPr="005D43B1">
              <w:t xml:space="preserve"> </w:t>
            </w:r>
          </w:p>
        </w:tc>
      </w:tr>
      <w:tr w:rsidR="00B36B4E" w:rsidRPr="00F22E0B" w14:paraId="67AD1CEB" w14:textId="77777777" w:rsidTr="00357FDE">
        <w:trPr>
          <w:trHeight w:val="340"/>
        </w:trPr>
        <w:tc>
          <w:tcPr>
            <w:tcW w:w="3323" w:type="dxa"/>
            <w:vAlign w:val="center"/>
          </w:tcPr>
          <w:p w14:paraId="767E4E22" w14:textId="77777777" w:rsidR="00E624B0" w:rsidRPr="00F22E0B" w:rsidRDefault="00E624B0" w:rsidP="00AC6B5B">
            <w:pPr>
              <w:spacing w:before="60" w:after="60"/>
              <w:rPr>
                <w:rFonts w:cstheme="minorHAnsi"/>
                <w:sz w:val="24"/>
                <w:szCs w:val="24"/>
              </w:rPr>
            </w:pPr>
            <w:r w:rsidRPr="00F22E0B">
              <w:rPr>
                <w:rFonts w:eastAsia="Calibri" w:cstheme="minorHAnsi"/>
                <w:color w:val="000000"/>
                <w:sz w:val="24"/>
                <w:szCs w:val="24"/>
                <w:lang w:eastAsia="ja-JP"/>
              </w:rPr>
              <w:t>Payment of dividends</w:t>
            </w:r>
          </w:p>
        </w:tc>
        <w:tc>
          <w:tcPr>
            <w:tcW w:w="1080" w:type="dxa"/>
          </w:tcPr>
          <w:p w14:paraId="0A1D89DA" w14:textId="77777777" w:rsidR="00E624B0" w:rsidRPr="00FD0097" w:rsidRDefault="00E624B0" w:rsidP="00AC6B5B">
            <w:pPr>
              <w:spacing w:before="60" w:after="60"/>
            </w:pPr>
          </w:p>
        </w:tc>
        <w:tc>
          <w:tcPr>
            <w:tcW w:w="1170" w:type="dxa"/>
          </w:tcPr>
          <w:p w14:paraId="10AD0667" w14:textId="68F13E6D" w:rsidR="00E624B0" w:rsidRPr="00EC0AB9" w:rsidRDefault="00E624B0" w:rsidP="00AC6B5B">
            <w:pPr>
              <w:spacing w:before="60" w:after="60"/>
            </w:pPr>
          </w:p>
        </w:tc>
        <w:tc>
          <w:tcPr>
            <w:tcW w:w="1170" w:type="dxa"/>
          </w:tcPr>
          <w:p w14:paraId="4D88A64D" w14:textId="6A77CAD4" w:rsidR="00E624B0" w:rsidRPr="00EC0AB9" w:rsidRDefault="00E624B0" w:rsidP="00AC6B5B">
            <w:pPr>
              <w:spacing w:before="60" w:after="60"/>
            </w:pPr>
            <w:r w:rsidRPr="00EC0AB9">
              <w:t>-</w:t>
            </w:r>
          </w:p>
        </w:tc>
        <w:tc>
          <w:tcPr>
            <w:tcW w:w="1170" w:type="dxa"/>
          </w:tcPr>
          <w:p w14:paraId="668863C3" w14:textId="39214CB6" w:rsidR="00E624B0" w:rsidRPr="00EC0AB9" w:rsidRDefault="00E624B0" w:rsidP="00AC6B5B">
            <w:pPr>
              <w:spacing w:before="60" w:after="60"/>
            </w:pPr>
            <w:r w:rsidRPr="00EC0AB9">
              <w:t>-</w:t>
            </w:r>
          </w:p>
        </w:tc>
      </w:tr>
      <w:tr w:rsidR="00B36B4E" w:rsidRPr="00F22E0B" w14:paraId="3B0C29E2" w14:textId="77777777" w:rsidTr="00357FDE">
        <w:trPr>
          <w:trHeight w:val="340"/>
        </w:trPr>
        <w:tc>
          <w:tcPr>
            <w:tcW w:w="3323" w:type="dxa"/>
            <w:vAlign w:val="center"/>
          </w:tcPr>
          <w:p w14:paraId="773B5A21" w14:textId="77777777" w:rsidR="00E624B0" w:rsidRPr="00F22E0B" w:rsidRDefault="00E624B0" w:rsidP="00AC6B5B">
            <w:pPr>
              <w:spacing w:before="60" w:after="60"/>
              <w:rPr>
                <w:rFonts w:cstheme="minorHAnsi"/>
                <w:sz w:val="24"/>
                <w:szCs w:val="24"/>
              </w:rPr>
            </w:pPr>
            <w:r w:rsidRPr="00F22E0B">
              <w:rPr>
                <w:rFonts w:eastAsia="Calibri" w:cstheme="minorHAnsi"/>
                <w:color w:val="000000"/>
                <w:sz w:val="24"/>
                <w:szCs w:val="24"/>
                <w:lang w:eastAsia="ja-JP"/>
              </w:rPr>
              <w:t>Performance related pay and other bonuses</w:t>
            </w:r>
          </w:p>
        </w:tc>
        <w:tc>
          <w:tcPr>
            <w:tcW w:w="1080" w:type="dxa"/>
          </w:tcPr>
          <w:p w14:paraId="3BE3A711" w14:textId="77777777" w:rsidR="00E624B0" w:rsidRPr="00FD0097" w:rsidRDefault="00E624B0" w:rsidP="00AC6B5B">
            <w:pPr>
              <w:spacing w:before="60" w:after="60"/>
            </w:pPr>
          </w:p>
        </w:tc>
        <w:tc>
          <w:tcPr>
            <w:tcW w:w="1170" w:type="dxa"/>
          </w:tcPr>
          <w:p w14:paraId="720B83BB" w14:textId="34EE7AA4" w:rsidR="00E624B0" w:rsidRPr="000C73FC" w:rsidRDefault="00E624B0" w:rsidP="00AC6B5B">
            <w:pPr>
              <w:spacing w:before="60" w:after="60"/>
            </w:pPr>
          </w:p>
        </w:tc>
        <w:tc>
          <w:tcPr>
            <w:tcW w:w="1170" w:type="dxa"/>
          </w:tcPr>
          <w:p w14:paraId="304176D6" w14:textId="3C576355" w:rsidR="00E624B0" w:rsidRPr="00EC0AB9" w:rsidRDefault="00E624B0" w:rsidP="00AC6B5B">
            <w:pPr>
              <w:spacing w:before="60" w:after="60"/>
            </w:pPr>
            <w:r w:rsidRPr="00EC0AB9">
              <w:t>£500</w:t>
            </w:r>
            <w:r w:rsidRPr="00EC0AB9">
              <w:rPr>
                <w:vertAlign w:val="superscript"/>
              </w:rPr>
              <w:t>2</w:t>
            </w:r>
          </w:p>
        </w:tc>
        <w:tc>
          <w:tcPr>
            <w:tcW w:w="1170" w:type="dxa"/>
          </w:tcPr>
          <w:p w14:paraId="3AFDA05F" w14:textId="7E9FDDB7" w:rsidR="00E624B0" w:rsidRPr="00EC0AB9" w:rsidRDefault="00E624B0" w:rsidP="00AC6B5B">
            <w:pPr>
              <w:spacing w:before="60" w:after="60"/>
            </w:pPr>
            <w:r w:rsidRPr="00EC0AB9">
              <w:t>£250</w:t>
            </w:r>
            <w:r w:rsidRPr="00EC0AB9">
              <w:rPr>
                <w:vertAlign w:val="superscript"/>
              </w:rPr>
              <w:t>2</w:t>
            </w:r>
          </w:p>
        </w:tc>
      </w:tr>
      <w:tr w:rsidR="00B36B4E" w:rsidRPr="00F22E0B" w14:paraId="06636AA0" w14:textId="77777777" w:rsidTr="00357FDE">
        <w:trPr>
          <w:trHeight w:val="340"/>
        </w:trPr>
        <w:tc>
          <w:tcPr>
            <w:tcW w:w="3323" w:type="dxa"/>
            <w:vAlign w:val="center"/>
          </w:tcPr>
          <w:p w14:paraId="5CAF9E23" w14:textId="77777777" w:rsidR="00E624B0" w:rsidRPr="00F22E0B" w:rsidRDefault="00E624B0" w:rsidP="00AC6B5B">
            <w:pPr>
              <w:spacing w:before="60" w:after="60"/>
              <w:rPr>
                <w:rFonts w:cstheme="minorHAnsi"/>
                <w:sz w:val="24"/>
                <w:szCs w:val="24"/>
              </w:rPr>
            </w:pPr>
            <w:r w:rsidRPr="00F22E0B">
              <w:rPr>
                <w:rFonts w:eastAsia="Calibri" w:cstheme="minorHAnsi"/>
                <w:color w:val="000000"/>
                <w:sz w:val="24"/>
                <w:szCs w:val="24"/>
                <w:lang w:eastAsia="ja-JP"/>
              </w:rPr>
              <w:t>Pension contributions (or payments in lieu of)</w:t>
            </w:r>
          </w:p>
        </w:tc>
        <w:tc>
          <w:tcPr>
            <w:tcW w:w="1080" w:type="dxa"/>
          </w:tcPr>
          <w:p w14:paraId="67F63721" w14:textId="50E718CD" w:rsidR="00E624B0" w:rsidRPr="00FD0097" w:rsidRDefault="00114C48" w:rsidP="00AC6B5B">
            <w:pPr>
              <w:spacing w:before="60" w:after="60"/>
            </w:pPr>
            <w:r>
              <w:t>£74,568</w:t>
            </w:r>
          </w:p>
        </w:tc>
        <w:tc>
          <w:tcPr>
            <w:tcW w:w="1170" w:type="dxa"/>
          </w:tcPr>
          <w:p w14:paraId="54485FF2" w14:textId="087ABECB" w:rsidR="00E624B0" w:rsidRPr="00EC0AB9" w:rsidRDefault="00E624B0" w:rsidP="00AC6B5B">
            <w:pPr>
              <w:spacing w:before="60" w:after="60"/>
            </w:pPr>
            <w:r w:rsidRPr="00EC0AB9">
              <w:t>£65,901</w:t>
            </w:r>
            <w:r w:rsidRPr="00EC0AB9">
              <w:rPr>
                <w:vertAlign w:val="superscript"/>
              </w:rPr>
              <w:t>1</w:t>
            </w:r>
          </w:p>
        </w:tc>
        <w:tc>
          <w:tcPr>
            <w:tcW w:w="1170" w:type="dxa"/>
          </w:tcPr>
          <w:p w14:paraId="66223313" w14:textId="3EC986E2" w:rsidR="00E624B0" w:rsidRPr="00EC0AB9" w:rsidRDefault="00E624B0" w:rsidP="00AC6B5B">
            <w:pPr>
              <w:spacing w:before="60" w:after="60"/>
            </w:pPr>
            <w:r w:rsidRPr="00EC0AB9">
              <w:t>£17,774</w:t>
            </w:r>
          </w:p>
        </w:tc>
        <w:tc>
          <w:tcPr>
            <w:tcW w:w="1170" w:type="dxa"/>
          </w:tcPr>
          <w:p w14:paraId="58529927" w14:textId="5A78C4C9" w:rsidR="00E624B0" w:rsidRPr="00EC0AB9" w:rsidRDefault="00E624B0" w:rsidP="00AC6B5B">
            <w:pPr>
              <w:spacing w:before="60" w:after="60"/>
            </w:pPr>
            <w:r w:rsidRPr="00EC0AB9">
              <w:t>£17,052</w:t>
            </w:r>
          </w:p>
        </w:tc>
      </w:tr>
      <w:tr w:rsidR="00B36B4E" w:rsidRPr="00F22E0B" w14:paraId="671E6A42" w14:textId="77777777" w:rsidTr="00357FDE">
        <w:trPr>
          <w:trHeight w:val="340"/>
        </w:trPr>
        <w:tc>
          <w:tcPr>
            <w:tcW w:w="3323" w:type="dxa"/>
            <w:vAlign w:val="center"/>
          </w:tcPr>
          <w:p w14:paraId="2EFE2E41" w14:textId="77777777" w:rsidR="00E624B0" w:rsidRPr="00F22E0B" w:rsidRDefault="00E624B0" w:rsidP="00AC6B5B">
            <w:pPr>
              <w:contextualSpacing/>
              <w:rPr>
                <w:rFonts w:cstheme="minorHAnsi"/>
                <w:sz w:val="24"/>
                <w:szCs w:val="24"/>
              </w:rPr>
            </w:pPr>
            <w:r w:rsidRPr="00F22E0B">
              <w:rPr>
                <w:rFonts w:eastAsia="Calibri" w:cstheme="minorHAnsi"/>
                <w:color w:val="000000"/>
                <w:sz w:val="24"/>
                <w:szCs w:val="24"/>
                <w:lang w:eastAsia="ja-JP"/>
              </w:rPr>
              <w:t>Salary sacrifice arrangements</w:t>
            </w:r>
          </w:p>
        </w:tc>
        <w:tc>
          <w:tcPr>
            <w:tcW w:w="1080" w:type="dxa"/>
          </w:tcPr>
          <w:p w14:paraId="550BB26C" w14:textId="77777777" w:rsidR="00E624B0" w:rsidRPr="00FD0097" w:rsidRDefault="00E624B0" w:rsidP="00AC6B5B">
            <w:pPr>
              <w:contextualSpacing/>
              <w:rPr>
                <w:rFonts w:cstheme="minorHAnsi"/>
              </w:rPr>
            </w:pPr>
          </w:p>
        </w:tc>
        <w:tc>
          <w:tcPr>
            <w:tcW w:w="1170" w:type="dxa"/>
          </w:tcPr>
          <w:p w14:paraId="43BD6CD8" w14:textId="469BB100" w:rsidR="00E624B0" w:rsidRDefault="00E624B0" w:rsidP="00AC6B5B">
            <w:pPr>
              <w:contextualSpacing/>
              <w:rPr>
                <w:rFonts w:cstheme="minorHAnsi"/>
                <w:sz w:val="24"/>
                <w:szCs w:val="24"/>
              </w:rPr>
            </w:pPr>
          </w:p>
        </w:tc>
        <w:tc>
          <w:tcPr>
            <w:tcW w:w="1170" w:type="dxa"/>
          </w:tcPr>
          <w:p w14:paraId="46C08688" w14:textId="7795AA91" w:rsidR="00E624B0" w:rsidRDefault="00E624B0" w:rsidP="00AC6B5B">
            <w:pPr>
              <w:contextualSpacing/>
              <w:rPr>
                <w:rFonts w:cstheme="minorHAnsi"/>
                <w:sz w:val="24"/>
                <w:szCs w:val="24"/>
              </w:rPr>
            </w:pPr>
            <w:r>
              <w:rPr>
                <w:rFonts w:cstheme="minorHAnsi"/>
                <w:sz w:val="24"/>
                <w:szCs w:val="24"/>
              </w:rPr>
              <w:t>-</w:t>
            </w:r>
          </w:p>
        </w:tc>
        <w:tc>
          <w:tcPr>
            <w:tcW w:w="1170" w:type="dxa"/>
          </w:tcPr>
          <w:p w14:paraId="68413AF1" w14:textId="490E5ADC" w:rsidR="00E624B0" w:rsidRPr="00F22E0B" w:rsidRDefault="00E624B0" w:rsidP="00AC6B5B">
            <w:pPr>
              <w:contextualSpacing/>
              <w:rPr>
                <w:rFonts w:cstheme="minorHAnsi"/>
                <w:sz w:val="24"/>
                <w:szCs w:val="24"/>
              </w:rPr>
            </w:pPr>
            <w:r>
              <w:rPr>
                <w:rFonts w:cstheme="minorHAnsi"/>
                <w:sz w:val="24"/>
                <w:szCs w:val="24"/>
              </w:rPr>
              <w:t>-</w:t>
            </w:r>
          </w:p>
        </w:tc>
      </w:tr>
      <w:tr w:rsidR="00B36B4E" w:rsidRPr="00F22E0B" w14:paraId="32464AE6" w14:textId="77777777" w:rsidTr="00357FDE">
        <w:trPr>
          <w:trHeight w:val="340"/>
        </w:trPr>
        <w:tc>
          <w:tcPr>
            <w:tcW w:w="3323" w:type="dxa"/>
            <w:vAlign w:val="center"/>
          </w:tcPr>
          <w:p w14:paraId="14DF4B82" w14:textId="77777777" w:rsidR="00E624B0" w:rsidRPr="00F22E0B" w:rsidRDefault="00E624B0" w:rsidP="00AC6B5B">
            <w:pPr>
              <w:spacing w:before="60" w:after="60"/>
              <w:rPr>
                <w:rFonts w:cstheme="minorHAnsi"/>
                <w:sz w:val="24"/>
                <w:szCs w:val="24"/>
              </w:rPr>
            </w:pPr>
            <w:r w:rsidRPr="00F22E0B">
              <w:rPr>
                <w:rFonts w:eastAsia="Calibri" w:cstheme="minorHAnsi"/>
                <w:color w:val="000000"/>
                <w:sz w:val="24"/>
                <w:szCs w:val="24"/>
                <w:lang w:eastAsia="ja-JP"/>
              </w:rPr>
              <w:t>Compensation for loss of office</w:t>
            </w:r>
          </w:p>
        </w:tc>
        <w:tc>
          <w:tcPr>
            <w:tcW w:w="1080" w:type="dxa"/>
          </w:tcPr>
          <w:p w14:paraId="15CBCF08" w14:textId="77777777" w:rsidR="00E624B0" w:rsidRDefault="00E624B0" w:rsidP="00AC6B5B">
            <w:pPr>
              <w:spacing w:before="60" w:after="60"/>
              <w:rPr>
                <w:rFonts w:cstheme="minorHAnsi"/>
                <w:sz w:val="24"/>
                <w:szCs w:val="24"/>
              </w:rPr>
            </w:pPr>
          </w:p>
        </w:tc>
        <w:tc>
          <w:tcPr>
            <w:tcW w:w="1170" w:type="dxa"/>
          </w:tcPr>
          <w:p w14:paraId="4CD311CD" w14:textId="508569DC" w:rsidR="00E624B0" w:rsidRDefault="00E624B0" w:rsidP="00AC6B5B">
            <w:pPr>
              <w:spacing w:before="60" w:after="60"/>
              <w:rPr>
                <w:rFonts w:cstheme="minorHAnsi"/>
                <w:sz w:val="24"/>
                <w:szCs w:val="24"/>
              </w:rPr>
            </w:pPr>
          </w:p>
        </w:tc>
        <w:tc>
          <w:tcPr>
            <w:tcW w:w="1170" w:type="dxa"/>
          </w:tcPr>
          <w:p w14:paraId="11ED45F0" w14:textId="55057129" w:rsidR="00E624B0" w:rsidRDefault="00E624B0" w:rsidP="00AC6B5B">
            <w:pPr>
              <w:spacing w:before="60" w:after="60"/>
              <w:rPr>
                <w:rFonts w:cstheme="minorHAnsi"/>
                <w:sz w:val="24"/>
                <w:szCs w:val="24"/>
              </w:rPr>
            </w:pPr>
            <w:r>
              <w:rPr>
                <w:rFonts w:cstheme="minorHAnsi"/>
                <w:sz w:val="24"/>
                <w:szCs w:val="24"/>
              </w:rPr>
              <w:t>-</w:t>
            </w:r>
          </w:p>
        </w:tc>
        <w:tc>
          <w:tcPr>
            <w:tcW w:w="1170" w:type="dxa"/>
          </w:tcPr>
          <w:p w14:paraId="5560726C" w14:textId="62F5FCBA" w:rsidR="00E624B0" w:rsidRPr="00F22E0B" w:rsidRDefault="00E624B0" w:rsidP="00AC6B5B">
            <w:pPr>
              <w:spacing w:before="60" w:after="60"/>
              <w:rPr>
                <w:rFonts w:cstheme="minorHAnsi"/>
                <w:sz w:val="24"/>
                <w:szCs w:val="24"/>
              </w:rPr>
            </w:pPr>
            <w:r>
              <w:rPr>
                <w:rFonts w:cstheme="minorHAnsi"/>
                <w:sz w:val="24"/>
                <w:szCs w:val="24"/>
              </w:rPr>
              <w:t>-</w:t>
            </w:r>
          </w:p>
        </w:tc>
      </w:tr>
      <w:tr w:rsidR="00B36B4E" w:rsidRPr="00F22E0B" w14:paraId="50B75355" w14:textId="77777777" w:rsidTr="00357FDE">
        <w:trPr>
          <w:trHeight w:val="340"/>
        </w:trPr>
        <w:tc>
          <w:tcPr>
            <w:tcW w:w="3323" w:type="dxa"/>
            <w:vAlign w:val="center"/>
          </w:tcPr>
          <w:p w14:paraId="4DB42BC1" w14:textId="77777777" w:rsidR="00E624B0" w:rsidRPr="00F22E0B" w:rsidRDefault="00E624B0" w:rsidP="00AC6B5B">
            <w:pPr>
              <w:spacing w:before="60" w:after="60"/>
              <w:rPr>
                <w:rFonts w:eastAsia="Calibri" w:cstheme="minorHAnsi"/>
                <w:color w:val="000000"/>
                <w:sz w:val="24"/>
                <w:szCs w:val="24"/>
                <w:lang w:eastAsia="ja-JP"/>
              </w:rPr>
            </w:pPr>
            <w:r w:rsidRPr="00F22E0B">
              <w:rPr>
                <w:rFonts w:eastAsia="Calibri" w:cstheme="minorHAnsi"/>
                <w:color w:val="000000"/>
                <w:sz w:val="24"/>
                <w:szCs w:val="24"/>
                <w:lang w:eastAsia="ja-JP"/>
              </w:rPr>
              <w:t>Other taxable benefits</w:t>
            </w:r>
          </w:p>
        </w:tc>
        <w:tc>
          <w:tcPr>
            <w:tcW w:w="1080" w:type="dxa"/>
          </w:tcPr>
          <w:p w14:paraId="573DC9B8" w14:textId="77777777" w:rsidR="00E624B0" w:rsidRDefault="00E624B0" w:rsidP="00AC6B5B">
            <w:pPr>
              <w:spacing w:before="60" w:after="60"/>
              <w:rPr>
                <w:rFonts w:cstheme="minorHAnsi"/>
                <w:sz w:val="24"/>
                <w:szCs w:val="24"/>
              </w:rPr>
            </w:pPr>
          </w:p>
        </w:tc>
        <w:tc>
          <w:tcPr>
            <w:tcW w:w="1170" w:type="dxa"/>
          </w:tcPr>
          <w:p w14:paraId="48BE10A0" w14:textId="326D8FFF" w:rsidR="00E624B0" w:rsidRDefault="00E624B0" w:rsidP="00AC6B5B">
            <w:pPr>
              <w:spacing w:before="60" w:after="60"/>
              <w:rPr>
                <w:rFonts w:cstheme="minorHAnsi"/>
                <w:sz w:val="24"/>
                <w:szCs w:val="24"/>
              </w:rPr>
            </w:pPr>
          </w:p>
        </w:tc>
        <w:tc>
          <w:tcPr>
            <w:tcW w:w="1170" w:type="dxa"/>
          </w:tcPr>
          <w:p w14:paraId="6FA2768C" w14:textId="585ED27E" w:rsidR="00E624B0" w:rsidRDefault="00E624B0" w:rsidP="00AC6B5B">
            <w:pPr>
              <w:spacing w:before="60" w:after="60"/>
              <w:rPr>
                <w:rFonts w:cstheme="minorHAnsi"/>
                <w:sz w:val="24"/>
                <w:szCs w:val="24"/>
              </w:rPr>
            </w:pPr>
            <w:r>
              <w:rPr>
                <w:rFonts w:cstheme="minorHAnsi"/>
                <w:sz w:val="24"/>
                <w:szCs w:val="24"/>
              </w:rPr>
              <w:t>-</w:t>
            </w:r>
          </w:p>
        </w:tc>
        <w:tc>
          <w:tcPr>
            <w:tcW w:w="1170" w:type="dxa"/>
          </w:tcPr>
          <w:p w14:paraId="13FF5F8F" w14:textId="56A0BDE9" w:rsidR="00E624B0" w:rsidRPr="00F22E0B" w:rsidRDefault="00E624B0" w:rsidP="00AC6B5B">
            <w:pPr>
              <w:spacing w:before="60" w:after="60"/>
              <w:rPr>
                <w:rFonts w:cstheme="minorHAnsi"/>
                <w:sz w:val="24"/>
                <w:szCs w:val="24"/>
              </w:rPr>
            </w:pPr>
            <w:r>
              <w:rPr>
                <w:rFonts w:cstheme="minorHAnsi"/>
                <w:sz w:val="24"/>
                <w:szCs w:val="24"/>
              </w:rPr>
              <w:t>-</w:t>
            </w:r>
          </w:p>
        </w:tc>
      </w:tr>
      <w:tr w:rsidR="00B36B4E" w:rsidRPr="00F22E0B" w14:paraId="1C0C8962" w14:textId="77777777" w:rsidTr="00357FDE">
        <w:trPr>
          <w:trHeight w:val="340"/>
        </w:trPr>
        <w:tc>
          <w:tcPr>
            <w:tcW w:w="3323" w:type="dxa"/>
            <w:vAlign w:val="center"/>
          </w:tcPr>
          <w:p w14:paraId="2404C9B5" w14:textId="77777777" w:rsidR="00E624B0" w:rsidRPr="00F22E0B" w:rsidRDefault="00E624B0" w:rsidP="00AC6B5B">
            <w:pPr>
              <w:spacing w:before="60" w:after="60"/>
              <w:rPr>
                <w:rFonts w:eastAsia="Calibri" w:cstheme="minorHAnsi"/>
                <w:color w:val="000000"/>
                <w:sz w:val="24"/>
                <w:szCs w:val="24"/>
                <w:lang w:eastAsia="ja-JP"/>
              </w:rPr>
            </w:pPr>
            <w:r w:rsidRPr="00F22E0B">
              <w:rPr>
                <w:rFonts w:eastAsia="Calibri" w:cstheme="minorHAnsi"/>
                <w:color w:val="000000"/>
                <w:sz w:val="24"/>
                <w:szCs w:val="24"/>
                <w:lang w:eastAsia="ja-JP"/>
              </w:rPr>
              <w:t>Non-taxable benefits</w:t>
            </w:r>
          </w:p>
        </w:tc>
        <w:tc>
          <w:tcPr>
            <w:tcW w:w="1080" w:type="dxa"/>
          </w:tcPr>
          <w:p w14:paraId="5F9C098C" w14:textId="77777777" w:rsidR="00E624B0" w:rsidRDefault="00E624B0" w:rsidP="00AC6B5B">
            <w:pPr>
              <w:spacing w:before="60" w:after="60"/>
              <w:rPr>
                <w:rFonts w:cstheme="minorHAnsi"/>
                <w:sz w:val="24"/>
                <w:szCs w:val="24"/>
              </w:rPr>
            </w:pPr>
          </w:p>
        </w:tc>
        <w:tc>
          <w:tcPr>
            <w:tcW w:w="1170" w:type="dxa"/>
          </w:tcPr>
          <w:p w14:paraId="50BDAC12" w14:textId="3FBB1561" w:rsidR="00E624B0" w:rsidRDefault="00E624B0" w:rsidP="00AC6B5B">
            <w:pPr>
              <w:spacing w:before="60" w:after="60"/>
              <w:rPr>
                <w:rFonts w:cstheme="minorHAnsi"/>
                <w:sz w:val="24"/>
                <w:szCs w:val="24"/>
              </w:rPr>
            </w:pPr>
          </w:p>
        </w:tc>
        <w:tc>
          <w:tcPr>
            <w:tcW w:w="1170" w:type="dxa"/>
          </w:tcPr>
          <w:p w14:paraId="21FD1C15" w14:textId="3E90B6B2" w:rsidR="00E624B0" w:rsidRDefault="00E624B0" w:rsidP="00AC6B5B">
            <w:pPr>
              <w:spacing w:before="60" w:after="60"/>
              <w:rPr>
                <w:rFonts w:cstheme="minorHAnsi"/>
                <w:sz w:val="24"/>
                <w:szCs w:val="24"/>
              </w:rPr>
            </w:pPr>
            <w:r>
              <w:rPr>
                <w:rFonts w:cstheme="minorHAnsi"/>
                <w:sz w:val="24"/>
                <w:szCs w:val="24"/>
              </w:rPr>
              <w:t>-</w:t>
            </w:r>
          </w:p>
        </w:tc>
        <w:tc>
          <w:tcPr>
            <w:tcW w:w="1170" w:type="dxa"/>
          </w:tcPr>
          <w:p w14:paraId="66BAF8D2" w14:textId="46AAD012" w:rsidR="00E624B0" w:rsidRPr="00F22E0B" w:rsidRDefault="00E624B0" w:rsidP="00AC6B5B">
            <w:pPr>
              <w:spacing w:before="60" w:after="60"/>
              <w:rPr>
                <w:rFonts w:cstheme="minorHAnsi"/>
                <w:sz w:val="24"/>
                <w:szCs w:val="24"/>
              </w:rPr>
            </w:pPr>
            <w:r>
              <w:rPr>
                <w:rFonts w:cstheme="minorHAnsi"/>
                <w:sz w:val="24"/>
                <w:szCs w:val="24"/>
              </w:rPr>
              <w:t>-</w:t>
            </w:r>
          </w:p>
        </w:tc>
      </w:tr>
      <w:tr w:rsidR="00B36B4E" w:rsidRPr="00F22E0B" w14:paraId="0A4055FF" w14:textId="77777777" w:rsidTr="00357FDE">
        <w:trPr>
          <w:trHeight w:val="340"/>
        </w:trPr>
        <w:tc>
          <w:tcPr>
            <w:tcW w:w="3323" w:type="dxa"/>
            <w:vAlign w:val="center"/>
          </w:tcPr>
          <w:p w14:paraId="27FF27EE" w14:textId="77777777" w:rsidR="00E624B0" w:rsidRPr="00F22E0B" w:rsidRDefault="00E624B0" w:rsidP="00AC6B5B">
            <w:pPr>
              <w:spacing w:before="60" w:after="60"/>
              <w:rPr>
                <w:rFonts w:eastAsia="Calibri" w:cstheme="minorHAnsi"/>
                <w:color w:val="000000"/>
                <w:sz w:val="24"/>
                <w:szCs w:val="24"/>
                <w:lang w:eastAsia="ja-JP"/>
              </w:rPr>
            </w:pPr>
            <w:r w:rsidRPr="00F22E0B">
              <w:rPr>
                <w:rFonts w:eastAsia="Calibri" w:cstheme="minorHAnsi"/>
                <w:color w:val="000000"/>
                <w:sz w:val="24"/>
                <w:szCs w:val="24"/>
                <w:lang w:eastAsia="ja-JP"/>
              </w:rPr>
              <w:t>Other remuneration</w:t>
            </w:r>
          </w:p>
        </w:tc>
        <w:tc>
          <w:tcPr>
            <w:tcW w:w="1080" w:type="dxa"/>
          </w:tcPr>
          <w:p w14:paraId="619888AD" w14:textId="77777777" w:rsidR="00E624B0" w:rsidRDefault="00E624B0" w:rsidP="00AC6B5B">
            <w:pPr>
              <w:spacing w:before="60" w:after="60"/>
              <w:rPr>
                <w:rFonts w:cstheme="minorHAnsi"/>
                <w:sz w:val="24"/>
                <w:szCs w:val="24"/>
              </w:rPr>
            </w:pPr>
          </w:p>
        </w:tc>
        <w:tc>
          <w:tcPr>
            <w:tcW w:w="1170" w:type="dxa"/>
          </w:tcPr>
          <w:p w14:paraId="0034BA1F" w14:textId="79C3A4DC" w:rsidR="00E624B0" w:rsidRPr="00EC0AB9" w:rsidRDefault="00E624B0" w:rsidP="00AC6B5B">
            <w:pPr>
              <w:spacing w:before="60" w:after="60"/>
            </w:pPr>
            <w:r w:rsidRPr="00EC0AB9">
              <w:t>£15,000</w:t>
            </w:r>
            <w:r w:rsidRPr="00EC0AB9">
              <w:rPr>
                <w:vertAlign w:val="superscript"/>
              </w:rPr>
              <w:t>3</w:t>
            </w:r>
          </w:p>
        </w:tc>
        <w:tc>
          <w:tcPr>
            <w:tcW w:w="1170" w:type="dxa"/>
          </w:tcPr>
          <w:p w14:paraId="3BC8CA79" w14:textId="177F0D7A" w:rsidR="00E624B0" w:rsidRDefault="00E624B0" w:rsidP="00AC6B5B">
            <w:pPr>
              <w:spacing w:before="60" w:after="60"/>
              <w:rPr>
                <w:rFonts w:cstheme="minorHAnsi"/>
                <w:sz w:val="24"/>
                <w:szCs w:val="24"/>
              </w:rPr>
            </w:pPr>
            <w:r>
              <w:rPr>
                <w:rFonts w:cstheme="minorHAnsi"/>
                <w:sz w:val="24"/>
                <w:szCs w:val="24"/>
              </w:rPr>
              <w:t>-</w:t>
            </w:r>
          </w:p>
        </w:tc>
        <w:tc>
          <w:tcPr>
            <w:tcW w:w="1170" w:type="dxa"/>
          </w:tcPr>
          <w:p w14:paraId="02AB9933" w14:textId="062B076E" w:rsidR="00E624B0" w:rsidRPr="00F22E0B" w:rsidRDefault="00E624B0" w:rsidP="00AC6B5B">
            <w:pPr>
              <w:spacing w:before="60" w:after="60"/>
              <w:rPr>
                <w:rFonts w:cstheme="minorHAnsi"/>
                <w:sz w:val="24"/>
                <w:szCs w:val="24"/>
              </w:rPr>
            </w:pPr>
            <w:r>
              <w:rPr>
                <w:rFonts w:cstheme="minorHAnsi"/>
                <w:sz w:val="24"/>
                <w:szCs w:val="24"/>
              </w:rPr>
              <w:t>-</w:t>
            </w:r>
          </w:p>
        </w:tc>
      </w:tr>
    </w:tbl>
    <w:p w14:paraId="407DB58A" w14:textId="4A90601B" w:rsidR="00FE46DF" w:rsidRDefault="00FE46DF" w:rsidP="00AC6B5B">
      <w:pPr>
        <w:spacing w:before="120" w:line="240" w:lineRule="auto"/>
        <w:ind w:left="720"/>
        <w:rPr>
          <w:sz w:val="20"/>
          <w:szCs w:val="20"/>
          <w:vertAlign w:val="superscript"/>
        </w:rPr>
      </w:pPr>
      <w:bookmarkStart w:id="4" w:name="_Hlk83299958"/>
      <w:r>
        <w:rPr>
          <w:sz w:val="20"/>
          <w:szCs w:val="20"/>
          <w:vertAlign w:val="superscript"/>
        </w:rPr>
        <w:t>1</w:t>
      </w:r>
      <w:r w:rsidRPr="00FE46DF">
        <w:rPr>
          <w:sz w:val="20"/>
          <w:szCs w:val="20"/>
        </w:rPr>
        <w:t>The</w:t>
      </w:r>
      <w:r>
        <w:rPr>
          <w:sz w:val="20"/>
          <w:szCs w:val="20"/>
        </w:rPr>
        <w:t xml:space="preserve"> current Vice-Chancellor received </w:t>
      </w:r>
      <w:r w:rsidR="003520E1">
        <w:rPr>
          <w:sz w:val="20"/>
          <w:szCs w:val="20"/>
        </w:rPr>
        <w:t>£151,667 basic salary</w:t>
      </w:r>
      <w:r w:rsidR="00B354AD">
        <w:rPr>
          <w:sz w:val="20"/>
          <w:szCs w:val="20"/>
        </w:rPr>
        <w:t xml:space="preserve"> and £40</w:t>
      </w:r>
      <w:r w:rsidR="00546693">
        <w:rPr>
          <w:sz w:val="20"/>
          <w:szCs w:val="20"/>
        </w:rPr>
        <w:t>,</w:t>
      </w:r>
      <w:r w:rsidR="00B354AD">
        <w:rPr>
          <w:sz w:val="20"/>
          <w:szCs w:val="20"/>
        </w:rPr>
        <w:t>.248 in pension contributions</w:t>
      </w:r>
      <w:r w:rsidR="003520E1">
        <w:rPr>
          <w:sz w:val="20"/>
          <w:szCs w:val="20"/>
        </w:rPr>
        <w:t xml:space="preserve"> from 1 January 2024</w:t>
      </w:r>
      <w:r w:rsidR="00D37E96">
        <w:rPr>
          <w:sz w:val="20"/>
          <w:szCs w:val="20"/>
        </w:rPr>
        <w:t xml:space="preserve"> to 31 July 2024</w:t>
      </w:r>
      <w:r w:rsidR="003520E1">
        <w:rPr>
          <w:sz w:val="20"/>
          <w:szCs w:val="20"/>
        </w:rPr>
        <w:t>. The 2024 figure</w:t>
      </w:r>
      <w:r w:rsidR="00B354AD">
        <w:rPr>
          <w:sz w:val="20"/>
          <w:szCs w:val="20"/>
        </w:rPr>
        <w:t>s</w:t>
      </w:r>
      <w:r w:rsidR="003520E1">
        <w:rPr>
          <w:sz w:val="20"/>
          <w:szCs w:val="20"/>
        </w:rPr>
        <w:t xml:space="preserve"> above ha</w:t>
      </w:r>
      <w:r w:rsidR="00B354AD">
        <w:rPr>
          <w:sz w:val="20"/>
          <w:szCs w:val="20"/>
        </w:rPr>
        <w:t>ve</w:t>
      </w:r>
      <w:r w:rsidR="003520E1">
        <w:rPr>
          <w:sz w:val="20"/>
          <w:szCs w:val="20"/>
        </w:rPr>
        <w:t xml:space="preserve"> been extrapolated</w:t>
      </w:r>
      <w:r w:rsidR="00D37E96">
        <w:rPr>
          <w:sz w:val="20"/>
          <w:szCs w:val="20"/>
        </w:rPr>
        <w:t xml:space="preserve"> over the full 12-month period for comparative purposes.</w:t>
      </w:r>
    </w:p>
    <w:p w14:paraId="1FC3DA41" w14:textId="77777777" w:rsidR="00C350CD" w:rsidRPr="00F24897" w:rsidDel="00F51F38" w:rsidRDefault="00F24897" w:rsidP="00AC6B5B">
      <w:pPr>
        <w:spacing w:before="120" w:line="240" w:lineRule="auto"/>
        <w:ind w:left="720"/>
        <w:rPr>
          <w:sz w:val="20"/>
          <w:szCs w:val="20"/>
        </w:rPr>
      </w:pPr>
      <w:r w:rsidRPr="00E302E2">
        <w:rPr>
          <w:sz w:val="20"/>
          <w:szCs w:val="20"/>
          <w:vertAlign w:val="superscript"/>
        </w:rPr>
        <w:t>2</w:t>
      </w:r>
      <w:r w:rsidR="00C9781E" w:rsidRPr="00E302E2">
        <w:rPr>
          <w:sz w:val="20"/>
          <w:szCs w:val="20"/>
        </w:rPr>
        <w:t>In relation to one-off payments made to all staff (£250 in January 2022 and £500 in November 2022, pro-rated for part-time staff</w:t>
      </w:r>
      <w:r w:rsidR="00C350CD" w:rsidRPr="00E302E2">
        <w:rPr>
          <w:sz w:val="20"/>
          <w:szCs w:val="20"/>
        </w:rPr>
        <w:t>, both of which were donated to a number of charities).</w:t>
      </w:r>
    </w:p>
    <w:p w14:paraId="33AFC65E" w14:textId="2E49799E" w:rsidR="00F24897" w:rsidRPr="00F24897" w:rsidRDefault="008433F8" w:rsidP="00AC6B5B">
      <w:pPr>
        <w:spacing w:after="0" w:line="240" w:lineRule="auto"/>
        <w:ind w:left="720"/>
        <w:rPr>
          <w:rFonts w:ascii="Calibri" w:eastAsia="Times New Roman" w:hAnsi="Calibri" w:cs="Calibri"/>
          <w:i/>
          <w:iCs/>
          <w:color w:val="000000"/>
          <w:lang w:eastAsia="en-GB"/>
        </w:rPr>
      </w:pPr>
      <w:r>
        <w:rPr>
          <w:sz w:val="20"/>
          <w:szCs w:val="20"/>
          <w:vertAlign w:val="superscript"/>
        </w:rPr>
        <w:t>3</w:t>
      </w:r>
      <w:r w:rsidR="00F24897" w:rsidRPr="00FE46DF">
        <w:rPr>
          <w:rFonts w:ascii="Calibri" w:eastAsia="Times New Roman" w:hAnsi="Calibri" w:cs="Calibri"/>
          <w:color w:val="000000"/>
          <w:sz w:val="20"/>
          <w:szCs w:val="20"/>
          <w:lang w:eastAsia="en-GB"/>
        </w:rPr>
        <w:t xml:space="preserve"> The current Vice-Chancellor received a one-off disturbance allowance of £15,000 on joining the University to support relocation. In recognition of this, the current Vice-Chancellor made charitable</w:t>
      </w:r>
      <w:r w:rsidR="00F24897" w:rsidRPr="005B1464">
        <w:rPr>
          <w:rFonts w:ascii="Calibri" w:eastAsia="Times New Roman" w:hAnsi="Calibri" w:cs="Calibri"/>
          <w:color w:val="000000"/>
          <w:sz w:val="20"/>
          <w:szCs w:val="20"/>
          <w:lang w:eastAsia="en-GB"/>
        </w:rPr>
        <w:t xml:space="preserve"> donations of £2,000 to the Hallam Fund during the current financial year (through Give </w:t>
      </w:r>
      <w:proofErr w:type="gramStart"/>
      <w:r w:rsidR="00F24897" w:rsidRPr="005B1464">
        <w:rPr>
          <w:rFonts w:ascii="Calibri" w:eastAsia="Times New Roman" w:hAnsi="Calibri" w:cs="Calibri"/>
          <w:color w:val="000000"/>
          <w:sz w:val="20"/>
          <w:szCs w:val="20"/>
          <w:lang w:eastAsia="en-GB"/>
        </w:rPr>
        <w:t>As</w:t>
      </w:r>
      <w:proofErr w:type="gramEnd"/>
      <w:r w:rsidR="00F24897" w:rsidRPr="005B1464">
        <w:rPr>
          <w:rFonts w:ascii="Calibri" w:eastAsia="Times New Roman" w:hAnsi="Calibri" w:cs="Calibri"/>
          <w:color w:val="000000"/>
          <w:sz w:val="20"/>
          <w:szCs w:val="20"/>
          <w:lang w:eastAsia="en-GB"/>
        </w:rPr>
        <w:t xml:space="preserve"> You Earn) and will continue to pay £400 per month over the next year.</w:t>
      </w:r>
    </w:p>
    <w:p w14:paraId="10E84323" w14:textId="77777777" w:rsidR="001B1BD8" w:rsidRDefault="001B1BD8" w:rsidP="00AC6B5B">
      <w:pPr>
        <w:spacing w:after="120" w:line="240" w:lineRule="auto"/>
        <w:rPr>
          <w:b/>
          <w:color w:val="621B40"/>
          <w:sz w:val="24"/>
          <w:szCs w:val="24"/>
        </w:rPr>
      </w:pPr>
    </w:p>
    <w:p w14:paraId="01DD85B8" w14:textId="7058920F" w:rsidR="00F22E0B" w:rsidRPr="005702E7" w:rsidRDefault="005702E7" w:rsidP="00AC6B5B">
      <w:pPr>
        <w:spacing w:after="120" w:line="240" w:lineRule="auto"/>
        <w:rPr>
          <w:b/>
          <w:color w:val="621B40"/>
          <w:sz w:val="24"/>
          <w:szCs w:val="24"/>
        </w:rPr>
      </w:pPr>
      <w:r w:rsidRPr="005702E7">
        <w:rPr>
          <w:b/>
          <w:color w:val="621B40"/>
          <w:sz w:val="24"/>
          <w:szCs w:val="24"/>
        </w:rPr>
        <w:t>INSTITUTIONAL PERFORMANCE</w:t>
      </w:r>
    </w:p>
    <w:p w14:paraId="2439176D" w14:textId="1FC3EDC2" w:rsidR="00861C7C" w:rsidRPr="00A15639" w:rsidRDefault="00925E66" w:rsidP="00AC6B5B">
      <w:pPr>
        <w:pStyle w:val="ListParagraph"/>
        <w:numPr>
          <w:ilvl w:val="0"/>
          <w:numId w:val="7"/>
        </w:numPr>
        <w:spacing w:after="120" w:line="240" w:lineRule="auto"/>
        <w:ind w:left="357" w:right="-612" w:hanging="357"/>
        <w:rPr>
          <w:sz w:val="24"/>
          <w:szCs w:val="24"/>
        </w:rPr>
      </w:pPr>
      <w:r>
        <w:rPr>
          <w:sz w:val="24"/>
          <w:szCs w:val="24"/>
        </w:rPr>
        <w:t>On</w:t>
      </w:r>
      <w:r w:rsidR="00F22E0B" w:rsidRPr="742C75A0">
        <w:rPr>
          <w:sz w:val="24"/>
          <w:szCs w:val="24"/>
        </w:rPr>
        <w:t xml:space="preserve"> the basis of the reports it has received, the Remuneration Committee </w:t>
      </w:r>
      <w:r w:rsidR="00F906B0" w:rsidRPr="742C75A0">
        <w:rPr>
          <w:sz w:val="24"/>
          <w:szCs w:val="24"/>
        </w:rPr>
        <w:t xml:space="preserve">recognises </w:t>
      </w:r>
      <w:r w:rsidR="00F22E0B" w:rsidRPr="742C75A0">
        <w:rPr>
          <w:sz w:val="24"/>
          <w:szCs w:val="24"/>
        </w:rPr>
        <w:t>that the Vice-Chancellor</w:t>
      </w:r>
      <w:r w:rsidR="00EE18AB" w:rsidRPr="742C75A0">
        <w:rPr>
          <w:sz w:val="24"/>
          <w:szCs w:val="24"/>
        </w:rPr>
        <w:t>,</w:t>
      </w:r>
      <w:r w:rsidR="00F22E0B" w:rsidRPr="742C75A0">
        <w:rPr>
          <w:sz w:val="24"/>
          <w:szCs w:val="24"/>
        </w:rPr>
        <w:t xml:space="preserve"> with the support of </w:t>
      </w:r>
      <w:r w:rsidR="00437C8E" w:rsidRPr="742C75A0">
        <w:rPr>
          <w:sz w:val="24"/>
          <w:szCs w:val="24"/>
        </w:rPr>
        <w:t>UEB</w:t>
      </w:r>
      <w:r w:rsidR="00EE18AB" w:rsidRPr="742C75A0">
        <w:rPr>
          <w:sz w:val="24"/>
          <w:szCs w:val="24"/>
        </w:rPr>
        <w:t>,</w:t>
      </w:r>
      <w:r w:rsidR="00CA0095" w:rsidRPr="742C75A0">
        <w:rPr>
          <w:sz w:val="24"/>
          <w:szCs w:val="24"/>
        </w:rPr>
        <w:t xml:space="preserve"> </w:t>
      </w:r>
      <w:r w:rsidR="00F906B0" w:rsidRPr="742C75A0">
        <w:rPr>
          <w:sz w:val="24"/>
          <w:szCs w:val="24"/>
        </w:rPr>
        <w:t>has</w:t>
      </w:r>
      <w:r w:rsidR="00F22E0B" w:rsidRPr="742C75A0">
        <w:rPr>
          <w:sz w:val="24"/>
          <w:szCs w:val="24"/>
        </w:rPr>
        <w:t xml:space="preserve"> made a significant contribution</w:t>
      </w:r>
      <w:r w:rsidR="005F5964" w:rsidRPr="742C75A0">
        <w:rPr>
          <w:sz w:val="24"/>
          <w:szCs w:val="24"/>
        </w:rPr>
        <w:t xml:space="preserve"> </w:t>
      </w:r>
      <w:r w:rsidR="00EE18AB" w:rsidRPr="742C75A0">
        <w:rPr>
          <w:sz w:val="24"/>
          <w:szCs w:val="24"/>
        </w:rPr>
        <w:t xml:space="preserve">in </w:t>
      </w:r>
      <w:r w:rsidR="00E2379F" w:rsidRPr="742C75A0">
        <w:rPr>
          <w:sz w:val="24"/>
          <w:szCs w:val="24"/>
        </w:rPr>
        <w:t xml:space="preserve">continued </w:t>
      </w:r>
      <w:r w:rsidR="00EE18AB" w:rsidRPr="742C75A0">
        <w:rPr>
          <w:sz w:val="24"/>
          <w:szCs w:val="24"/>
        </w:rPr>
        <w:t>challenging circumstances.</w:t>
      </w:r>
      <w:r w:rsidR="00F22E0B" w:rsidRPr="742C75A0">
        <w:rPr>
          <w:sz w:val="24"/>
          <w:szCs w:val="24"/>
        </w:rPr>
        <w:t xml:space="preserve"> The University's performance </w:t>
      </w:r>
      <w:r w:rsidR="00F906B0" w:rsidRPr="742C75A0">
        <w:rPr>
          <w:sz w:val="24"/>
          <w:szCs w:val="24"/>
        </w:rPr>
        <w:t xml:space="preserve">has </w:t>
      </w:r>
      <w:r w:rsidR="00857D37" w:rsidRPr="742C75A0">
        <w:rPr>
          <w:sz w:val="24"/>
          <w:szCs w:val="24"/>
        </w:rPr>
        <w:t xml:space="preserve">been </w:t>
      </w:r>
      <w:r w:rsidR="00CD6491" w:rsidRPr="742C75A0">
        <w:rPr>
          <w:sz w:val="24"/>
          <w:szCs w:val="24"/>
        </w:rPr>
        <w:t>consistent</w:t>
      </w:r>
      <w:r w:rsidR="00857D37" w:rsidRPr="742C75A0">
        <w:rPr>
          <w:sz w:val="24"/>
          <w:szCs w:val="24"/>
        </w:rPr>
        <w:t xml:space="preserve"> and a </w:t>
      </w:r>
      <w:r w:rsidR="00872D13" w:rsidRPr="742C75A0">
        <w:rPr>
          <w:sz w:val="24"/>
          <w:szCs w:val="24"/>
        </w:rPr>
        <w:t>refreshed</w:t>
      </w:r>
      <w:r w:rsidR="00857D37" w:rsidRPr="742C75A0">
        <w:rPr>
          <w:sz w:val="24"/>
          <w:szCs w:val="24"/>
        </w:rPr>
        <w:t xml:space="preserve"> </w:t>
      </w:r>
      <w:r w:rsidR="001F3EA8" w:rsidRPr="742C75A0">
        <w:rPr>
          <w:sz w:val="24"/>
          <w:szCs w:val="24"/>
        </w:rPr>
        <w:t xml:space="preserve">University Strategy </w:t>
      </w:r>
      <w:r w:rsidR="00872D13" w:rsidRPr="742C75A0">
        <w:rPr>
          <w:sz w:val="24"/>
          <w:szCs w:val="24"/>
        </w:rPr>
        <w:t xml:space="preserve">to </w:t>
      </w:r>
      <w:r w:rsidR="001F3EA8" w:rsidRPr="742C75A0">
        <w:rPr>
          <w:sz w:val="24"/>
          <w:szCs w:val="24"/>
        </w:rPr>
        <w:t xml:space="preserve">2030 was approved by the Board of Governors in </w:t>
      </w:r>
      <w:r w:rsidR="00A547F3" w:rsidRPr="742C75A0">
        <w:rPr>
          <w:sz w:val="24"/>
          <w:szCs w:val="24"/>
        </w:rPr>
        <w:t>March 2025.</w:t>
      </w:r>
      <w:r w:rsidR="00CD6491" w:rsidRPr="742C75A0">
        <w:rPr>
          <w:sz w:val="24"/>
          <w:szCs w:val="24"/>
        </w:rPr>
        <w:t xml:space="preserve"> Key highlights</w:t>
      </w:r>
      <w:r w:rsidR="007566D0" w:rsidRPr="742C75A0">
        <w:rPr>
          <w:sz w:val="24"/>
          <w:szCs w:val="24"/>
        </w:rPr>
        <w:t xml:space="preserve"> during 2024/5</w:t>
      </w:r>
      <w:r w:rsidR="00CD6491" w:rsidRPr="742C75A0">
        <w:rPr>
          <w:sz w:val="24"/>
          <w:szCs w:val="24"/>
        </w:rPr>
        <w:t xml:space="preserve"> have been:</w:t>
      </w:r>
    </w:p>
    <w:p w14:paraId="02CB8E35" w14:textId="3355BA51" w:rsidR="7F29A768" w:rsidRDefault="7F29A768" w:rsidP="00AC6B5B">
      <w:pPr>
        <w:pStyle w:val="ListParagraph"/>
        <w:numPr>
          <w:ilvl w:val="0"/>
          <w:numId w:val="32"/>
        </w:numPr>
        <w:spacing w:after="0" w:line="240" w:lineRule="auto"/>
        <w:ind w:right="-612"/>
        <w:rPr>
          <w:sz w:val="24"/>
          <w:szCs w:val="24"/>
        </w:rPr>
      </w:pPr>
      <w:r w:rsidRPr="742C75A0">
        <w:rPr>
          <w:rFonts w:eastAsiaTheme="minorEastAsia"/>
          <w:sz w:val="24"/>
          <w:szCs w:val="24"/>
        </w:rPr>
        <w:t>our new Access and Participation Plan was approved by the Office for Students in December 2024 and comes into force from September 2025. At that point, we will begin to track performance against our declared objectives.</w:t>
      </w:r>
    </w:p>
    <w:p w14:paraId="58D86072" w14:textId="04DA895B" w:rsidR="00526D2B" w:rsidRPr="00526D2B" w:rsidRDefault="00526D2B" w:rsidP="00AC6B5B">
      <w:pPr>
        <w:pStyle w:val="ListParagraph"/>
        <w:numPr>
          <w:ilvl w:val="0"/>
          <w:numId w:val="32"/>
        </w:numPr>
        <w:spacing w:after="0" w:line="240" w:lineRule="auto"/>
        <w:ind w:right="-612"/>
        <w:rPr>
          <w:rFonts w:cstheme="minorHAnsi"/>
          <w:sz w:val="24"/>
          <w:szCs w:val="24"/>
        </w:rPr>
      </w:pPr>
      <w:r w:rsidRPr="00526D2B">
        <w:rPr>
          <w:rFonts w:cstheme="minorHAnsi"/>
          <w:sz w:val="24"/>
          <w:szCs w:val="24"/>
        </w:rPr>
        <w:t>students respond</w:t>
      </w:r>
      <w:r w:rsidR="00F716E4">
        <w:rPr>
          <w:rFonts w:cstheme="minorHAnsi"/>
          <w:sz w:val="24"/>
          <w:szCs w:val="24"/>
        </w:rPr>
        <w:t>ing</w:t>
      </w:r>
      <w:r w:rsidRPr="00526D2B">
        <w:rPr>
          <w:rFonts w:cstheme="minorHAnsi"/>
          <w:sz w:val="24"/>
          <w:szCs w:val="24"/>
        </w:rPr>
        <w:t xml:space="preserve"> positively in the 2025 National Student Survey (NSS), with improvements in learning opportunities and student voice. The increase in satisfaction for these areas highlights our ability to drive meaningful and positive change. Satisfaction in the Students’ Union has also significantly improved</w:t>
      </w:r>
      <w:r w:rsidR="00E320EA">
        <w:rPr>
          <w:rFonts w:cstheme="minorHAnsi"/>
          <w:sz w:val="24"/>
          <w:szCs w:val="24"/>
        </w:rPr>
        <w:t>;</w:t>
      </w:r>
    </w:p>
    <w:p w14:paraId="2C6C8583" w14:textId="3A8C44F7" w:rsidR="00B55571" w:rsidRPr="00C5190A" w:rsidRDefault="006B3939" w:rsidP="00AC6B5B">
      <w:pPr>
        <w:pStyle w:val="ListParagraph"/>
        <w:numPr>
          <w:ilvl w:val="0"/>
          <w:numId w:val="32"/>
        </w:numPr>
        <w:spacing w:after="0" w:line="240" w:lineRule="auto"/>
        <w:rPr>
          <w:rFonts w:cstheme="minorHAnsi"/>
          <w:sz w:val="24"/>
          <w:szCs w:val="24"/>
        </w:rPr>
      </w:pPr>
      <w:r w:rsidRPr="00FE60E2">
        <w:rPr>
          <w:rFonts w:cstheme="minorHAnsi"/>
          <w:sz w:val="24"/>
          <w:szCs w:val="24"/>
        </w:rPr>
        <w:lastRenderedPageBreak/>
        <w:t xml:space="preserve">high levels of student satisfaction in our Postgraduate cohort, measured by the Postgraduate Taught Experience Survey (PTES);  </w:t>
      </w:r>
    </w:p>
    <w:p w14:paraId="4CF6E60C" w14:textId="3320DA33" w:rsidR="00FE103B" w:rsidRDefault="00FE103B" w:rsidP="00AC6B5B">
      <w:pPr>
        <w:pStyle w:val="ListParagraph"/>
        <w:numPr>
          <w:ilvl w:val="0"/>
          <w:numId w:val="32"/>
        </w:numPr>
        <w:spacing w:after="0" w:line="240" w:lineRule="auto"/>
        <w:ind w:right="-612"/>
      </w:pPr>
      <w:r w:rsidRPr="742C75A0">
        <w:rPr>
          <w:sz w:val="24"/>
          <w:szCs w:val="24"/>
        </w:rPr>
        <w:t>f</w:t>
      </w:r>
      <w:r w:rsidR="00F00AC2" w:rsidRPr="742C75A0">
        <w:rPr>
          <w:sz w:val="24"/>
          <w:szCs w:val="24"/>
        </w:rPr>
        <w:t xml:space="preserve">or </w:t>
      </w:r>
      <w:r w:rsidR="71E03290" w:rsidRPr="742C75A0">
        <w:rPr>
          <w:sz w:val="24"/>
          <w:szCs w:val="24"/>
        </w:rPr>
        <w:t xml:space="preserve">student </w:t>
      </w:r>
      <w:r w:rsidR="00BB5929" w:rsidRPr="742C75A0">
        <w:rPr>
          <w:sz w:val="24"/>
          <w:szCs w:val="24"/>
        </w:rPr>
        <w:t>outcomes, our</w:t>
      </w:r>
      <w:r w:rsidR="0024587A" w:rsidRPr="742C75A0">
        <w:rPr>
          <w:sz w:val="24"/>
          <w:szCs w:val="24"/>
        </w:rPr>
        <w:t xml:space="preserve"> headline</w:t>
      </w:r>
      <w:r w:rsidR="54246A23" w:rsidRPr="742C75A0">
        <w:rPr>
          <w:sz w:val="24"/>
          <w:szCs w:val="24"/>
        </w:rPr>
        <w:t xml:space="preserve"> </w:t>
      </w:r>
      <w:r w:rsidR="0024587A" w:rsidRPr="742C75A0">
        <w:rPr>
          <w:sz w:val="24"/>
          <w:szCs w:val="24"/>
        </w:rPr>
        <w:t xml:space="preserve">figures remain strong, </w:t>
      </w:r>
      <w:r w:rsidR="00994A03" w:rsidRPr="742C75A0">
        <w:rPr>
          <w:sz w:val="24"/>
          <w:szCs w:val="24"/>
        </w:rPr>
        <w:t>but with</w:t>
      </w:r>
      <w:r w:rsidR="0024587A" w:rsidRPr="742C75A0">
        <w:rPr>
          <w:sz w:val="24"/>
          <w:szCs w:val="24"/>
        </w:rPr>
        <w:t xml:space="preserve"> a small</w:t>
      </w:r>
      <w:r w:rsidR="00D16431" w:rsidRPr="742C75A0">
        <w:rPr>
          <w:sz w:val="24"/>
          <w:szCs w:val="24"/>
        </w:rPr>
        <w:t xml:space="preserve"> percentage point</w:t>
      </w:r>
      <w:r w:rsidR="0024587A" w:rsidRPr="742C75A0">
        <w:rPr>
          <w:sz w:val="24"/>
          <w:szCs w:val="24"/>
        </w:rPr>
        <w:t xml:space="preserve"> dip in Highly Skilled Employment</w:t>
      </w:r>
      <w:r w:rsidR="4E4D1E99" w:rsidRPr="742C75A0">
        <w:rPr>
          <w:sz w:val="24"/>
          <w:szCs w:val="24"/>
        </w:rPr>
        <w:t xml:space="preserve">. </w:t>
      </w:r>
      <w:r w:rsidR="4E4D1E99" w:rsidRPr="742C75A0">
        <w:rPr>
          <w:rFonts w:eastAsiaTheme="minorEastAsia"/>
          <w:sz w:val="24"/>
          <w:szCs w:val="24"/>
        </w:rPr>
        <w:t>On average across the sector there was a fall of around two percentage points, meaning that we have improved our relative position on this metric as one of the leading post-92 institutions;</w:t>
      </w:r>
    </w:p>
    <w:p w14:paraId="4387C178" w14:textId="27620F7F" w:rsidR="008C0010" w:rsidRPr="00790D45" w:rsidRDefault="008C0010" w:rsidP="00AC6B5B">
      <w:pPr>
        <w:pStyle w:val="ListParagraph"/>
        <w:numPr>
          <w:ilvl w:val="0"/>
          <w:numId w:val="32"/>
        </w:numPr>
        <w:spacing w:after="0" w:line="240" w:lineRule="auto"/>
        <w:rPr>
          <w:rFonts w:cstheme="minorHAnsi"/>
          <w:sz w:val="24"/>
          <w:szCs w:val="24"/>
        </w:rPr>
      </w:pPr>
      <w:r w:rsidRPr="00BC2604">
        <w:rPr>
          <w:rFonts w:cstheme="minorHAnsi"/>
          <w:sz w:val="24"/>
          <w:szCs w:val="24"/>
        </w:rPr>
        <w:t xml:space="preserve">a steady recruitment performance </w:t>
      </w:r>
      <w:r w:rsidR="00153E62" w:rsidRPr="00BC2604">
        <w:rPr>
          <w:rFonts w:cstheme="minorHAnsi"/>
          <w:sz w:val="24"/>
          <w:szCs w:val="24"/>
        </w:rPr>
        <w:t xml:space="preserve">in a </w:t>
      </w:r>
      <w:r w:rsidR="005425F5" w:rsidRPr="00BC2604">
        <w:rPr>
          <w:rFonts w:cstheme="minorHAnsi"/>
          <w:sz w:val="24"/>
          <w:szCs w:val="24"/>
        </w:rPr>
        <w:t xml:space="preserve">problematic </w:t>
      </w:r>
      <w:r w:rsidR="00153E62" w:rsidRPr="00BC2604">
        <w:rPr>
          <w:rFonts w:cstheme="minorHAnsi"/>
          <w:sz w:val="24"/>
          <w:szCs w:val="24"/>
        </w:rPr>
        <w:t>external context</w:t>
      </w:r>
      <w:r w:rsidR="00A67EEA">
        <w:rPr>
          <w:rFonts w:cstheme="minorHAnsi"/>
          <w:sz w:val="24"/>
          <w:szCs w:val="24"/>
        </w:rPr>
        <w:t>;</w:t>
      </w:r>
    </w:p>
    <w:p w14:paraId="3287699E" w14:textId="77777777" w:rsidR="00523D91" w:rsidRDefault="00FD515C" w:rsidP="00AC6B5B">
      <w:pPr>
        <w:pStyle w:val="ListParagraph"/>
        <w:numPr>
          <w:ilvl w:val="0"/>
          <w:numId w:val="32"/>
        </w:numPr>
        <w:spacing w:after="0" w:line="240" w:lineRule="auto"/>
        <w:rPr>
          <w:rFonts w:cstheme="minorHAnsi"/>
          <w:sz w:val="24"/>
          <w:szCs w:val="24"/>
        </w:rPr>
      </w:pPr>
      <w:r w:rsidRPr="00790D45">
        <w:rPr>
          <w:rFonts w:cstheme="minorHAnsi"/>
          <w:sz w:val="24"/>
          <w:szCs w:val="24"/>
        </w:rPr>
        <w:t xml:space="preserve">the continued Hallam influence locally, regionally and nationally through policy interventions, </w:t>
      </w:r>
      <w:r w:rsidR="00750DC3">
        <w:rPr>
          <w:rFonts w:cstheme="minorHAnsi"/>
          <w:sz w:val="24"/>
          <w:szCs w:val="24"/>
        </w:rPr>
        <w:t>research</w:t>
      </w:r>
      <w:r w:rsidRPr="00C5190A">
        <w:rPr>
          <w:rFonts w:cstheme="minorHAnsi"/>
          <w:sz w:val="24"/>
          <w:szCs w:val="24"/>
        </w:rPr>
        <w:t xml:space="preserve"> and engagement; </w:t>
      </w:r>
    </w:p>
    <w:p w14:paraId="54708A2E" w14:textId="21C98C56" w:rsidR="0025519D" w:rsidRDefault="00523D91" w:rsidP="00AC6B5B">
      <w:pPr>
        <w:pStyle w:val="ListParagraph"/>
        <w:numPr>
          <w:ilvl w:val="0"/>
          <w:numId w:val="32"/>
        </w:numPr>
        <w:spacing w:after="0" w:line="240" w:lineRule="auto"/>
        <w:rPr>
          <w:b/>
          <w:bCs/>
          <w:sz w:val="24"/>
          <w:szCs w:val="24"/>
        </w:rPr>
      </w:pPr>
      <w:r w:rsidRPr="742C75A0">
        <w:rPr>
          <w:sz w:val="24"/>
          <w:szCs w:val="24"/>
        </w:rPr>
        <w:t>recognition</w:t>
      </w:r>
      <w:r w:rsidR="00FD515C" w:rsidRPr="742C75A0">
        <w:rPr>
          <w:sz w:val="24"/>
          <w:szCs w:val="24"/>
        </w:rPr>
        <w:t xml:space="preserve"> by </w:t>
      </w:r>
      <w:r w:rsidR="00FD515C" w:rsidRPr="742C75A0">
        <w:rPr>
          <w:b/>
          <w:bCs/>
          <w:sz w:val="24"/>
          <w:szCs w:val="24"/>
        </w:rPr>
        <w:t>Times Higher Education Impact Rankings 2025</w:t>
      </w:r>
      <w:r w:rsidR="00FD515C" w:rsidRPr="742C75A0">
        <w:rPr>
          <w:sz w:val="24"/>
          <w:szCs w:val="24"/>
        </w:rPr>
        <w:t xml:space="preserve"> which placed Sheffield Hallam within the Top 10 universities on the planet for our positive impact on reducing inequalities recognising our research on social inequalities, initiatives to create equitable access to education and employment, and our commitment to</w:t>
      </w:r>
      <w:r w:rsidR="004D2BFB" w:rsidRPr="742C75A0">
        <w:rPr>
          <w:sz w:val="24"/>
          <w:szCs w:val="24"/>
        </w:rPr>
        <w:t xml:space="preserve"> </w:t>
      </w:r>
      <w:r w:rsidR="00FD515C" w:rsidRPr="742C75A0">
        <w:rPr>
          <w:sz w:val="24"/>
          <w:szCs w:val="24"/>
        </w:rPr>
        <w:t>championing equality and inclusion</w:t>
      </w:r>
      <w:r w:rsidR="00E320EA" w:rsidRPr="742C75A0">
        <w:rPr>
          <w:sz w:val="24"/>
          <w:szCs w:val="24"/>
        </w:rPr>
        <w:t>;</w:t>
      </w:r>
    </w:p>
    <w:p w14:paraId="19AB6DB4" w14:textId="5F712CEF" w:rsidR="0025519D" w:rsidRDefault="00F24CB8" w:rsidP="00AC6B5B">
      <w:pPr>
        <w:pStyle w:val="ListParagraph"/>
        <w:numPr>
          <w:ilvl w:val="0"/>
          <w:numId w:val="32"/>
        </w:numPr>
        <w:spacing w:after="0" w:line="240" w:lineRule="auto"/>
        <w:rPr>
          <w:b/>
          <w:bCs/>
          <w:sz w:val="24"/>
          <w:szCs w:val="24"/>
        </w:rPr>
      </w:pPr>
      <w:r w:rsidRPr="742C75A0">
        <w:rPr>
          <w:sz w:val="24"/>
          <w:szCs w:val="24"/>
        </w:rPr>
        <w:t xml:space="preserve">recognition through the </w:t>
      </w:r>
      <w:r w:rsidRPr="742C75A0">
        <w:rPr>
          <w:i/>
          <w:iCs/>
          <w:sz w:val="24"/>
          <w:szCs w:val="24"/>
        </w:rPr>
        <w:t xml:space="preserve">Apprenticeship Award </w:t>
      </w:r>
      <w:r w:rsidRPr="742C75A0">
        <w:rPr>
          <w:sz w:val="24"/>
          <w:szCs w:val="24"/>
        </w:rPr>
        <w:t xml:space="preserve">at the </w:t>
      </w:r>
      <w:r w:rsidRPr="742C75A0">
        <w:rPr>
          <w:b/>
          <w:bCs/>
          <w:sz w:val="24"/>
          <w:szCs w:val="24"/>
        </w:rPr>
        <w:t xml:space="preserve">Educate North </w:t>
      </w:r>
      <w:r w:rsidRPr="742C75A0">
        <w:rPr>
          <w:sz w:val="24"/>
          <w:szCs w:val="24"/>
        </w:rPr>
        <w:t>Awards</w:t>
      </w:r>
      <w:r w:rsidRPr="742C75A0">
        <w:rPr>
          <w:b/>
          <w:bCs/>
          <w:sz w:val="24"/>
          <w:szCs w:val="24"/>
        </w:rPr>
        <w:t xml:space="preserve"> 2024,</w:t>
      </w:r>
      <w:r w:rsidRPr="742C75A0">
        <w:rPr>
          <w:i/>
          <w:iCs/>
          <w:sz w:val="24"/>
          <w:szCs w:val="24"/>
        </w:rPr>
        <w:t xml:space="preserve"> </w:t>
      </w:r>
      <w:r w:rsidRPr="742C75A0">
        <w:rPr>
          <w:sz w:val="24"/>
          <w:szCs w:val="24"/>
        </w:rPr>
        <w:t xml:space="preserve">and the award of five stars in the latest </w:t>
      </w:r>
      <w:r w:rsidRPr="742C75A0">
        <w:rPr>
          <w:b/>
          <w:bCs/>
          <w:sz w:val="24"/>
          <w:szCs w:val="24"/>
        </w:rPr>
        <w:t>QS Stars international rating system</w:t>
      </w:r>
      <w:r w:rsidR="00E320EA" w:rsidRPr="742C75A0">
        <w:rPr>
          <w:b/>
          <w:bCs/>
          <w:sz w:val="24"/>
          <w:szCs w:val="24"/>
        </w:rPr>
        <w:t>.</w:t>
      </w:r>
    </w:p>
    <w:p w14:paraId="3BC41629" w14:textId="77777777" w:rsidR="00E320EA" w:rsidRPr="00BC2604" w:rsidRDefault="00E320EA" w:rsidP="00AC6B5B">
      <w:pPr>
        <w:pStyle w:val="ListParagraph"/>
        <w:spacing w:after="0" w:line="240" w:lineRule="auto"/>
        <w:rPr>
          <w:rFonts w:cstheme="minorHAnsi"/>
          <w:b/>
          <w:bCs/>
          <w:sz w:val="24"/>
          <w:szCs w:val="24"/>
        </w:rPr>
      </w:pPr>
    </w:p>
    <w:bookmarkEnd w:id="4"/>
    <w:p w14:paraId="0F637FE6" w14:textId="45BABF56" w:rsidR="005702E7" w:rsidRPr="005702E7" w:rsidRDefault="008654E3" w:rsidP="00AC6B5B">
      <w:pPr>
        <w:spacing w:line="240" w:lineRule="auto"/>
        <w:rPr>
          <w:b/>
          <w:color w:val="621B40"/>
          <w:sz w:val="24"/>
          <w:szCs w:val="24"/>
        </w:rPr>
      </w:pPr>
      <w:r>
        <w:rPr>
          <w:b/>
          <w:color w:val="621B40"/>
          <w:sz w:val="24"/>
          <w:szCs w:val="24"/>
        </w:rPr>
        <w:t>E</w:t>
      </w:r>
      <w:r w:rsidR="005702E7" w:rsidRPr="005702E7">
        <w:rPr>
          <w:b/>
          <w:color w:val="621B40"/>
          <w:sz w:val="24"/>
          <w:szCs w:val="24"/>
        </w:rPr>
        <w:t>XTERNAL APPOINTMENTS AND EXPENSES</w:t>
      </w:r>
    </w:p>
    <w:p w14:paraId="2495532A" w14:textId="316F90B2" w:rsidR="00F22E0B" w:rsidRPr="00F22E0B" w:rsidRDefault="00F22E0B" w:rsidP="00AC6B5B">
      <w:pPr>
        <w:pStyle w:val="ListParagraph"/>
        <w:numPr>
          <w:ilvl w:val="0"/>
          <w:numId w:val="7"/>
        </w:numPr>
        <w:spacing w:before="120" w:after="120" w:line="240" w:lineRule="auto"/>
        <w:jc w:val="both"/>
        <w:rPr>
          <w:rFonts w:cstheme="minorHAnsi"/>
          <w:b/>
          <w:bCs/>
          <w:sz w:val="24"/>
          <w:szCs w:val="24"/>
        </w:rPr>
      </w:pPr>
      <w:r w:rsidRPr="00F22E0B">
        <w:rPr>
          <w:rFonts w:cstheme="minorHAnsi"/>
          <w:b/>
          <w:bCs/>
          <w:sz w:val="24"/>
          <w:szCs w:val="24"/>
        </w:rPr>
        <w:t xml:space="preserve">Retention of income generated from external </w:t>
      </w:r>
      <w:r w:rsidR="00AD0F94">
        <w:rPr>
          <w:rFonts w:cstheme="minorHAnsi"/>
          <w:b/>
          <w:bCs/>
          <w:sz w:val="24"/>
          <w:szCs w:val="24"/>
        </w:rPr>
        <w:t>activity.</w:t>
      </w:r>
    </w:p>
    <w:p w14:paraId="520CF4BC" w14:textId="6E078EF9" w:rsidR="00577C0B" w:rsidRDefault="0031555F" w:rsidP="00AC6B5B">
      <w:pPr>
        <w:spacing w:line="240" w:lineRule="auto"/>
        <w:rPr>
          <w:sz w:val="24"/>
          <w:szCs w:val="24"/>
        </w:rPr>
      </w:pPr>
      <w:r w:rsidRPr="75662EB0">
        <w:rPr>
          <w:sz w:val="24"/>
          <w:szCs w:val="24"/>
        </w:rPr>
        <w:t>The University’s Policy</w:t>
      </w:r>
      <w:r w:rsidR="00017CDE" w:rsidRPr="75662EB0">
        <w:rPr>
          <w:sz w:val="24"/>
          <w:szCs w:val="24"/>
        </w:rPr>
        <w:t xml:space="preserve"> on retention of external income</w:t>
      </w:r>
      <w:r w:rsidRPr="75662EB0">
        <w:rPr>
          <w:sz w:val="24"/>
          <w:szCs w:val="24"/>
        </w:rPr>
        <w:t xml:space="preserve"> for the University’s most senior staff has been revised and was approved by the Committee in June 2022.</w:t>
      </w:r>
      <w:r w:rsidR="000034AA" w:rsidRPr="75662EB0">
        <w:rPr>
          <w:sz w:val="24"/>
          <w:szCs w:val="24"/>
        </w:rPr>
        <w:t xml:space="preserve"> The Policy</w:t>
      </w:r>
      <w:r w:rsidRPr="75662EB0">
        <w:rPr>
          <w:sz w:val="24"/>
          <w:szCs w:val="24"/>
        </w:rPr>
        <w:t xml:space="preserve"> </w:t>
      </w:r>
      <w:r w:rsidR="001068DF" w:rsidRPr="75662EB0">
        <w:rPr>
          <w:sz w:val="24"/>
          <w:szCs w:val="24"/>
        </w:rPr>
        <w:t>was further</w:t>
      </w:r>
      <w:r w:rsidRPr="75662EB0">
        <w:rPr>
          <w:sz w:val="24"/>
          <w:szCs w:val="24"/>
        </w:rPr>
        <w:t xml:space="preserve"> </w:t>
      </w:r>
      <w:r w:rsidR="000034AA" w:rsidRPr="75662EB0">
        <w:rPr>
          <w:sz w:val="24"/>
          <w:szCs w:val="24"/>
        </w:rPr>
        <w:t xml:space="preserve">revised </w:t>
      </w:r>
      <w:r w:rsidR="001068DF" w:rsidRPr="75662EB0">
        <w:rPr>
          <w:sz w:val="24"/>
          <w:szCs w:val="24"/>
        </w:rPr>
        <w:t xml:space="preserve">in June 2024 to </w:t>
      </w:r>
      <w:r w:rsidR="00A44947" w:rsidRPr="75662EB0">
        <w:rPr>
          <w:sz w:val="24"/>
          <w:szCs w:val="24"/>
        </w:rPr>
        <w:t>narrow the scope of the policy</w:t>
      </w:r>
      <w:r w:rsidRPr="75662EB0">
        <w:rPr>
          <w:sz w:val="24"/>
          <w:szCs w:val="24"/>
        </w:rPr>
        <w:t xml:space="preserve"> </w:t>
      </w:r>
      <w:r w:rsidR="001068DF" w:rsidRPr="75662EB0">
        <w:rPr>
          <w:sz w:val="24"/>
          <w:szCs w:val="24"/>
        </w:rPr>
        <w:t xml:space="preserve">to UEB members </w:t>
      </w:r>
      <w:r w:rsidR="00A44947" w:rsidRPr="75662EB0">
        <w:rPr>
          <w:sz w:val="24"/>
          <w:szCs w:val="24"/>
        </w:rPr>
        <w:t>only</w:t>
      </w:r>
      <w:r w:rsidR="006C23CD">
        <w:rPr>
          <w:sz w:val="24"/>
          <w:szCs w:val="24"/>
        </w:rPr>
        <w:t xml:space="preserve"> and to define the exceptional circumstances where income could be retained</w:t>
      </w:r>
      <w:r w:rsidR="006F1680">
        <w:rPr>
          <w:sz w:val="24"/>
          <w:szCs w:val="24"/>
        </w:rPr>
        <w:t xml:space="preserve"> by senior staff</w:t>
      </w:r>
      <w:r w:rsidR="006C23CD">
        <w:rPr>
          <w:sz w:val="24"/>
          <w:szCs w:val="24"/>
        </w:rPr>
        <w:t xml:space="preserve"> (</w:t>
      </w:r>
      <w:r w:rsidR="006F1680">
        <w:rPr>
          <w:sz w:val="24"/>
          <w:szCs w:val="24"/>
        </w:rPr>
        <w:t xml:space="preserve">with the exception of the Vice-Chancellor and Deputy Vice-Chancellor posts where income </w:t>
      </w:r>
      <w:r w:rsidR="00CC3FA7">
        <w:rPr>
          <w:sz w:val="24"/>
          <w:szCs w:val="24"/>
        </w:rPr>
        <w:t xml:space="preserve">will </w:t>
      </w:r>
      <w:r w:rsidR="006F1680">
        <w:rPr>
          <w:sz w:val="24"/>
          <w:szCs w:val="24"/>
        </w:rPr>
        <w:t>always be retained by the University)</w:t>
      </w:r>
      <w:r w:rsidR="000034AA" w:rsidRPr="75662EB0">
        <w:rPr>
          <w:sz w:val="24"/>
          <w:szCs w:val="24"/>
        </w:rPr>
        <w:t>.</w:t>
      </w:r>
      <w:r w:rsidR="007D751E">
        <w:rPr>
          <w:sz w:val="24"/>
          <w:szCs w:val="24"/>
        </w:rPr>
        <w:t xml:space="preserve"> </w:t>
      </w:r>
    </w:p>
    <w:p w14:paraId="2AB52787" w14:textId="77777777" w:rsidR="00F22E0B" w:rsidRPr="00F22E0B" w:rsidRDefault="00F22E0B" w:rsidP="00AC6B5B">
      <w:pPr>
        <w:pStyle w:val="ListParagraph"/>
        <w:numPr>
          <w:ilvl w:val="0"/>
          <w:numId w:val="7"/>
        </w:numPr>
        <w:spacing w:before="120" w:after="120" w:line="240" w:lineRule="auto"/>
        <w:ind w:left="357" w:hanging="357"/>
        <w:jc w:val="both"/>
        <w:rPr>
          <w:rFonts w:cstheme="minorHAnsi"/>
          <w:b/>
          <w:bCs/>
          <w:sz w:val="24"/>
          <w:szCs w:val="24"/>
        </w:rPr>
      </w:pPr>
      <w:r w:rsidRPr="00F22E0B">
        <w:rPr>
          <w:rFonts w:cstheme="minorHAnsi"/>
          <w:b/>
          <w:bCs/>
          <w:sz w:val="24"/>
          <w:szCs w:val="24"/>
        </w:rPr>
        <w:t xml:space="preserve">Expenses Policy </w:t>
      </w:r>
    </w:p>
    <w:p w14:paraId="02BA2224" w14:textId="78805D3E" w:rsidR="00F22E0B" w:rsidRPr="00F22E0B" w:rsidRDefault="005306BE" w:rsidP="00AC6B5B">
      <w:pPr>
        <w:spacing w:line="240" w:lineRule="auto"/>
        <w:contextualSpacing/>
        <w:rPr>
          <w:rStyle w:val="Hyperlink"/>
          <w:rFonts w:cstheme="minorHAnsi"/>
          <w:sz w:val="24"/>
          <w:szCs w:val="24"/>
        </w:rPr>
      </w:pPr>
      <w:r>
        <w:rPr>
          <w:rFonts w:cstheme="minorHAnsi"/>
          <w:sz w:val="24"/>
          <w:szCs w:val="24"/>
        </w:rPr>
        <w:t>The</w:t>
      </w:r>
      <w:r w:rsidR="00F22E0B" w:rsidRPr="00F22E0B">
        <w:rPr>
          <w:rFonts w:cstheme="minorHAnsi"/>
          <w:sz w:val="24"/>
          <w:szCs w:val="24"/>
        </w:rPr>
        <w:t xml:space="preserve"> expenses received by senior leaders </w:t>
      </w:r>
      <w:r w:rsidR="00FD515C">
        <w:rPr>
          <w:rFonts w:cstheme="minorHAnsi"/>
          <w:sz w:val="24"/>
          <w:szCs w:val="24"/>
        </w:rPr>
        <w:t>are</w:t>
      </w:r>
      <w:r>
        <w:rPr>
          <w:rFonts w:cstheme="minorHAnsi"/>
          <w:sz w:val="24"/>
          <w:szCs w:val="24"/>
        </w:rPr>
        <w:t xml:space="preserve"> published</w:t>
      </w:r>
      <w:r w:rsidR="00F22E0B" w:rsidRPr="00F22E0B">
        <w:rPr>
          <w:rFonts w:cstheme="minorHAnsi"/>
          <w:sz w:val="24"/>
          <w:szCs w:val="24"/>
        </w:rPr>
        <w:t xml:space="preserve"> </w:t>
      </w:r>
      <w:r w:rsidR="002E5621">
        <w:rPr>
          <w:rFonts w:cstheme="minorHAnsi"/>
          <w:sz w:val="24"/>
          <w:szCs w:val="24"/>
        </w:rPr>
        <w:t>on the University’s website</w:t>
      </w:r>
      <w:r w:rsidR="00F22E0B" w:rsidRPr="00F22E0B">
        <w:rPr>
          <w:rFonts w:cstheme="minorHAnsi"/>
          <w:sz w:val="24"/>
          <w:szCs w:val="24"/>
        </w:rPr>
        <w:t>.</w:t>
      </w:r>
      <w:r>
        <w:rPr>
          <w:rFonts w:cstheme="minorHAnsi"/>
          <w:sz w:val="24"/>
          <w:szCs w:val="24"/>
        </w:rPr>
        <w:t xml:space="preserve"> </w:t>
      </w:r>
    </w:p>
    <w:p w14:paraId="39BC661E" w14:textId="036EE1B5" w:rsidR="00F22E0B" w:rsidRPr="00EB42EB" w:rsidRDefault="00294C17" w:rsidP="00AC6B5B">
      <w:pPr>
        <w:pStyle w:val="ListParagraph"/>
        <w:numPr>
          <w:ilvl w:val="0"/>
          <w:numId w:val="7"/>
        </w:numPr>
        <w:spacing w:before="120" w:after="120" w:line="240" w:lineRule="auto"/>
        <w:contextualSpacing w:val="0"/>
        <w:jc w:val="both"/>
        <w:rPr>
          <w:rFonts w:cstheme="minorHAnsi"/>
          <w:b/>
          <w:bCs/>
          <w:sz w:val="24"/>
          <w:szCs w:val="24"/>
        </w:rPr>
      </w:pPr>
      <w:r w:rsidRPr="00EB42EB">
        <w:rPr>
          <w:rFonts w:cstheme="minorHAnsi"/>
          <w:b/>
          <w:bCs/>
          <w:sz w:val="24"/>
          <w:szCs w:val="24"/>
        </w:rPr>
        <w:t xml:space="preserve">Activities Specific to </w:t>
      </w:r>
      <w:r w:rsidR="005306BE" w:rsidRPr="00EB42EB">
        <w:rPr>
          <w:rFonts w:cstheme="minorHAnsi"/>
          <w:b/>
          <w:bCs/>
          <w:sz w:val="24"/>
          <w:szCs w:val="24"/>
        </w:rPr>
        <w:t>202</w:t>
      </w:r>
      <w:r w:rsidR="005306BE">
        <w:rPr>
          <w:rFonts w:cstheme="minorHAnsi"/>
          <w:b/>
          <w:bCs/>
          <w:sz w:val="24"/>
          <w:szCs w:val="24"/>
        </w:rPr>
        <w:t>4</w:t>
      </w:r>
      <w:r w:rsidRPr="00EB42EB">
        <w:rPr>
          <w:rFonts w:cstheme="minorHAnsi"/>
          <w:b/>
          <w:bCs/>
          <w:sz w:val="24"/>
          <w:szCs w:val="24"/>
        </w:rPr>
        <w:t>/2</w:t>
      </w:r>
      <w:r w:rsidR="005306BE">
        <w:rPr>
          <w:rFonts w:cstheme="minorHAnsi"/>
          <w:b/>
          <w:bCs/>
          <w:sz w:val="24"/>
          <w:szCs w:val="24"/>
        </w:rPr>
        <w:t>5</w:t>
      </w:r>
    </w:p>
    <w:p w14:paraId="1C9805FB" w14:textId="78FD87E1" w:rsidR="00C0791B" w:rsidRPr="008E5D97" w:rsidRDefault="00195939" w:rsidP="00AC6B5B">
      <w:pPr>
        <w:spacing w:before="120" w:after="120" w:line="240" w:lineRule="auto"/>
        <w:rPr>
          <w:rFonts w:cstheme="minorHAnsi"/>
          <w:b/>
          <w:bCs/>
          <w:sz w:val="24"/>
          <w:szCs w:val="24"/>
        </w:rPr>
      </w:pPr>
      <w:r w:rsidRPr="008E5D97">
        <w:rPr>
          <w:rFonts w:cstheme="minorHAnsi"/>
          <w:sz w:val="24"/>
          <w:szCs w:val="24"/>
        </w:rPr>
        <w:t>The impact of the i</w:t>
      </w:r>
      <w:r w:rsidR="008826D5" w:rsidRPr="008E5D97">
        <w:rPr>
          <w:rFonts w:cstheme="minorHAnsi"/>
          <w:sz w:val="24"/>
          <w:szCs w:val="24"/>
        </w:rPr>
        <w:t>ncreasingly challenging f</w:t>
      </w:r>
      <w:r w:rsidR="00F96A16" w:rsidRPr="008E5D97">
        <w:rPr>
          <w:rFonts w:cstheme="minorHAnsi"/>
          <w:sz w:val="24"/>
          <w:szCs w:val="24"/>
        </w:rPr>
        <w:t xml:space="preserve">inancial context </w:t>
      </w:r>
      <w:r w:rsidR="00BC4AD1">
        <w:rPr>
          <w:rFonts w:cstheme="minorHAnsi"/>
          <w:sz w:val="24"/>
          <w:szCs w:val="24"/>
        </w:rPr>
        <w:t xml:space="preserve">in the HE sector </w:t>
      </w:r>
      <w:r w:rsidRPr="008E5D97">
        <w:rPr>
          <w:rFonts w:cstheme="minorHAnsi"/>
          <w:sz w:val="24"/>
          <w:szCs w:val="24"/>
        </w:rPr>
        <w:t>on senior s</w:t>
      </w:r>
      <w:r w:rsidR="0020310F" w:rsidRPr="008E5D97">
        <w:rPr>
          <w:rFonts w:cstheme="minorHAnsi"/>
          <w:sz w:val="24"/>
          <w:szCs w:val="24"/>
        </w:rPr>
        <w:t>ta</w:t>
      </w:r>
      <w:r w:rsidRPr="008E5D97">
        <w:rPr>
          <w:rFonts w:cstheme="minorHAnsi"/>
          <w:sz w:val="24"/>
          <w:szCs w:val="24"/>
        </w:rPr>
        <w:t>ff remuneration decisions.</w:t>
      </w:r>
      <w:r w:rsidR="005425F5">
        <w:rPr>
          <w:rFonts w:cstheme="minorHAnsi"/>
          <w:sz w:val="24"/>
          <w:szCs w:val="24"/>
        </w:rPr>
        <w:t xml:space="preserve"> </w:t>
      </w:r>
    </w:p>
    <w:p w14:paraId="07A6C186" w14:textId="5A228527" w:rsidR="00F22E0B" w:rsidRPr="00EB42EB" w:rsidRDefault="00F22E0B" w:rsidP="00AC6B5B">
      <w:pPr>
        <w:pStyle w:val="ListParagraph"/>
        <w:numPr>
          <w:ilvl w:val="0"/>
          <w:numId w:val="7"/>
        </w:numPr>
        <w:spacing w:before="120" w:after="120" w:line="240" w:lineRule="auto"/>
        <w:contextualSpacing w:val="0"/>
        <w:jc w:val="both"/>
        <w:rPr>
          <w:rFonts w:cstheme="minorHAnsi"/>
          <w:b/>
          <w:bCs/>
          <w:sz w:val="24"/>
          <w:szCs w:val="24"/>
        </w:rPr>
      </w:pPr>
      <w:r w:rsidRPr="00EB42EB">
        <w:rPr>
          <w:rFonts w:cstheme="minorHAnsi"/>
          <w:b/>
          <w:bCs/>
          <w:sz w:val="24"/>
          <w:szCs w:val="24"/>
        </w:rPr>
        <w:t>Significant changes</w:t>
      </w:r>
    </w:p>
    <w:p w14:paraId="64BB8059" w14:textId="71F2CEB5" w:rsidR="00AE7D4D" w:rsidRPr="00AE7D4D" w:rsidRDefault="00AE7D4D" w:rsidP="00AC6B5B">
      <w:pPr>
        <w:spacing w:before="120" w:after="120" w:line="240" w:lineRule="auto"/>
        <w:rPr>
          <w:sz w:val="24"/>
        </w:rPr>
      </w:pPr>
      <w:r>
        <w:rPr>
          <w:sz w:val="24"/>
          <w:szCs w:val="24"/>
        </w:rPr>
        <w:t xml:space="preserve">In November </w:t>
      </w:r>
      <w:r w:rsidRPr="00AE7D4D">
        <w:rPr>
          <w:sz w:val="24"/>
          <w:szCs w:val="24"/>
        </w:rPr>
        <w:t xml:space="preserve">2024, the Board of Governors approved a proposal for the role of Chief Operating Officer to become a Board Appointment. </w:t>
      </w:r>
    </w:p>
    <w:p w14:paraId="6D138F5C" w14:textId="61B3CC7E" w:rsidR="00DD3143" w:rsidRDefault="00E23D48" w:rsidP="00AC6B5B">
      <w:pPr>
        <w:spacing w:before="120" w:after="120" w:line="240" w:lineRule="auto"/>
        <w:rPr>
          <w:sz w:val="24"/>
          <w:szCs w:val="24"/>
        </w:rPr>
      </w:pPr>
      <w:r w:rsidRPr="0DB632FA">
        <w:rPr>
          <w:sz w:val="24"/>
          <w:szCs w:val="24"/>
        </w:rPr>
        <w:t>Following the removal of the Chief People Officer and Deputy Vice-Chancellor (</w:t>
      </w:r>
      <w:r w:rsidR="16015A9B" w:rsidRPr="0DB632FA">
        <w:rPr>
          <w:sz w:val="24"/>
          <w:szCs w:val="24"/>
        </w:rPr>
        <w:t>Strategy</w:t>
      </w:r>
      <w:r w:rsidR="00704D71" w:rsidRPr="0DB632FA">
        <w:rPr>
          <w:sz w:val="24"/>
          <w:szCs w:val="24"/>
        </w:rPr>
        <w:t xml:space="preserve"> and Operations</w:t>
      </w:r>
      <w:r w:rsidRPr="0DB632FA">
        <w:rPr>
          <w:sz w:val="24"/>
          <w:szCs w:val="24"/>
        </w:rPr>
        <w:t xml:space="preserve">) roles at the end of July </w:t>
      </w:r>
      <w:r w:rsidR="00D835A3" w:rsidRPr="0DB632FA">
        <w:rPr>
          <w:sz w:val="24"/>
          <w:szCs w:val="24"/>
        </w:rPr>
        <w:t>2024</w:t>
      </w:r>
      <w:r w:rsidRPr="0DB632FA">
        <w:rPr>
          <w:sz w:val="24"/>
          <w:szCs w:val="24"/>
        </w:rPr>
        <w:t>, f</w:t>
      </w:r>
      <w:r w:rsidR="002C0FF3" w:rsidRPr="0DB632FA">
        <w:rPr>
          <w:sz w:val="24"/>
          <w:szCs w:val="24"/>
        </w:rPr>
        <w:t xml:space="preserve">urther reshaping of the University’s senior leadership team </w:t>
      </w:r>
      <w:r w:rsidRPr="0DB632FA">
        <w:rPr>
          <w:sz w:val="24"/>
          <w:szCs w:val="24"/>
        </w:rPr>
        <w:t>has been undertaken</w:t>
      </w:r>
      <w:r w:rsidR="00E949F3" w:rsidRPr="0DB632FA">
        <w:rPr>
          <w:color w:val="FF0000"/>
          <w:sz w:val="24"/>
          <w:szCs w:val="24"/>
        </w:rPr>
        <w:t xml:space="preserve"> </w:t>
      </w:r>
      <w:r w:rsidR="00D835A3" w:rsidRPr="0DB632FA">
        <w:rPr>
          <w:sz w:val="24"/>
          <w:szCs w:val="24"/>
        </w:rPr>
        <w:t>during 2024/25</w:t>
      </w:r>
      <w:r w:rsidR="005C1006" w:rsidRPr="0DB632FA">
        <w:rPr>
          <w:sz w:val="24"/>
          <w:szCs w:val="24"/>
        </w:rPr>
        <w:t xml:space="preserve"> to develop a leaner leadership and management structure </w:t>
      </w:r>
      <w:r w:rsidR="00D835A3" w:rsidRPr="0DB632FA">
        <w:rPr>
          <w:sz w:val="24"/>
          <w:szCs w:val="24"/>
        </w:rPr>
        <w:t>resulting in significant pay cost savings for the University</w:t>
      </w:r>
      <w:r w:rsidR="005C1006" w:rsidRPr="0DB632FA">
        <w:rPr>
          <w:sz w:val="24"/>
          <w:szCs w:val="24"/>
        </w:rPr>
        <w:t xml:space="preserve">. </w:t>
      </w:r>
    </w:p>
    <w:p w14:paraId="2A4D0D9D" w14:textId="150E7DCC" w:rsidR="00D10B1F" w:rsidRPr="005726F3" w:rsidRDefault="00745A91" w:rsidP="00AC6B5B">
      <w:pPr>
        <w:spacing w:before="120" w:after="120" w:line="240" w:lineRule="auto"/>
        <w:rPr>
          <w:sz w:val="24"/>
          <w:szCs w:val="24"/>
        </w:rPr>
      </w:pPr>
      <w:r w:rsidRPr="2AF60EA0">
        <w:rPr>
          <w:sz w:val="24"/>
          <w:szCs w:val="24"/>
        </w:rPr>
        <w:t xml:space="preserve">Pro Vice-Chancellor </w:t>
      </w:r>
      <w:r w:rsidR="009862A0">
        <w:rPr>
          <w:sz w:val="24"/>
          <w:szCs w:val="24"/>
        </w:rPr>
        <w:t>(“PVC”)</w:t>
      </w:r>
      <w:r w:rsidR="00201743">
        <w:rPr>
          <w:sz w:val="24"/>
          <w:szCs w:val="24"/>
        </w:rPr>
        <w:t xml:space="preserve"> </w:t>
      </w:r>
      <w:r w:rsidRPr="2AF60EA0">
        <w:rPr>
          <w:sz w:val="24"/>
          <w:szCs w:val="24"/>
        </w:rPr>
        <w:t>roles</w:t>
      </w:r>
      <w:r w:rsidR="005C1006" w:rsidRPr="2AF60EA0">
        <w:rPr>
          <w:sz w:val="24"/>
          <w:szCs w:val="24"/>
        </w:rPr>
        <w:t xml:space="preserve"> have been removed from the structure</w:t>
      </w:r>
      <w:r w:rsidR="00DD3143" w:rsidRPr="2AF60EA0">
        <w:rPr>
          <w:sz w:val="24"/>
          <w:szCs w:val="24"/>
        </w:rPr>
        <w:t xml:space="preserve">; </w:t>
      </w:r>
      <w:r w:rsidR="005C1006" w:rsidRPr="2AF60EA0">
        <w:rPr>
          <w:sz w:val="24"/>
          <w:szCs w:val="24"/>
        </w:rPr>
        <w:t>key e</w:t>
      </w:r>
      <w:r w:rsidR="00C9084C" w:rsidRPr="2AF60EA0">
        <w:rPr>
          <w:sz w:val="24"/>
          <w:szCs w:val="24"/>
        </w:rPr>
        <w:t>lements of the PVC portfolios are now undertaken by the Executive Deans of Colleges</w:t>
      </w:r>
      <w:r w:rsidR="00DD3143" w:rsidRPr="2AF60EA0">
        <w:rPr>
          <w:sz w:val="24"/>
          <w:szCs w:val="24"/>
        </w:rPr>
        <w:t xml:space="preserve">. </w:t>
      </w:r>
      <w:r w:rsidR="00143E2B" w:rsidRPr="2AF60EA0">
        <w:rPr>
          <w:sz w:val="24"/>
          <w:szCs w:val="24"/>
        </w:rPr>
        <w:t>A</w:t>
      </w:r>
      <w:r w:rsidR="005C1006" w:rsidRPr="00E5723B">
        <w:rPr>
          <w:sz w:val="24"/>
          <w:szCs w:val="24"/>
        </w:rPr>
        <w:t xml:space="preserve"> </w:t>
      </w:r>
      <w:r w:rsidR="00DD3143">
        <w:rPr>
          <w:sz w:val="24"/>
          <w:szCs w:val="24"/>
        </w:rPr>
        <w:t xml:space="preserve">new </w:t>
      </w:r>
      <w:r w:rsidR="005C1006" w:rsidRPr="00E5723B">
        <w:rPr>
          <w:sz w:val="24"/>
          <w:szCs w:val="24"/>
        </w:rPr>
        <w:t xml:space="preserve">Dean of Research, Innovation and Knowledge Exchange </w:t>
      </w:r>
      <w:r w:rsidR="005C1006">
        <w:rPr>
          <w:sz w:val="24"/>
          <w:szCs w:val="24"/>
        </w:rPr>
        <w:t xml:space="preserve">and </w:t>
      </w:r>
      <w:r w:rsidR="00DD3143">
        <w:rPr>
          <w:sz w:val="24"/>
          <w:szCs w:val="24"/>
        </w:rPr>
        <w:t xml:space="preserve">an </w:t>
      </w:r>
      <w:r w:rsidR="005C1006">
        <w:rPr>
          <w:sz w:val="24"/>
          <w:szCs w:val="24"/>
        </w:rPr>
        <w:t>E</w:t>
      </w:r>
      <w:r w:rsidR="005C1006" w:rsidRPr="00E5723B">
        <w:rPr>
          <w:sz w:val="24"/>
          <w:szCs w:val="24"/>
        </w:rPr>
        <w:t>xecutive Director of Student Success</w:t>
      </w:r>
      <w:r w:rsidR="00143E2B">
        <w:rPr>
          <w:sz w:val="24"/>
          <w:szCs w:val="24"/>
        </w:rPr>
        <w:t xml:space="preserve"> </w:t>
      </w:r>
      <w:r w:rsidR="001B0E0B">
        <w:rPr>
          <w:sz w:val="24"/>
          <w:szCs w:val="24"/>
        </w:rPr>
        <w:t xml:space="preserve">have been appointed. </w:t>
      </w:r>
    </w:p>
    <w:sectPr w:rsidR="00D10B1F" w:rsidRPr="005726F3" w:rsidSect="00687A2E">
      <w:headerReference w:type="even" r:id="rId13"/>
      <w:headerReference w:type="default" r:id="rId14"/>
      <w:footerReference w:type="default" r:id="rId15"/>
      <w:headerReference w:type="first" r:id="rId16"/>
      <w:footerReference w:type="first" r:id="rId17"/>
      <w:pgSz w:w="11906" w:h="16838"/>
      <w:pgMar w:top="1134" w:right="1440" w:bottom="993" w:left="1440" w:header="567"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E19E" w14:textId="77777777" w:rsidR="0068232D" w:rsidRDefault="0068232D" w:rsidP="00233669">
      <w:pPr>
        <w:spacing w:after="0" w:line="240" w:lineRule="auto"/>
      </w:pPr>
      <w:r>
        <w:separator/>
      </w:r>
    </w:p>
  </w:endnote>
  <w:endnote w:type="continuationSeparator" w:id="0">
    <w:p w14:paraId="59A235C9" w14:textId="77777777" w:rsidR="0068232D" w:rsidRDefault="0068232D" w:rsidP="00233669">
      <w:pPr>
        <w:spacing w:after="0" w:line="240" w:lineRule="auto"/>
      </w:pPr>
      <w:r>
        <w:continuationSeparator/>
      </w:r>
    </w:p>
  </w:endnote>
  <w:endnote w:type="continuationNotice" w:id="1">
    <w:p w14:paraId="0907C839" w14:textId="77777777" w:rsidR="0068232D" w:rsidRDefault="00682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183048"/>
      <w:docPartObj>
        <w:docPartGallery w:val="Page Numbers (Top of Page)"/>
        <w:docPartUnique/>
      </w:docPartObj>
    </w:sdtPr>
    <w:sdtContent>
      <w:p w14:paraId="0CD10FB4" w14:textId="77777777" w:rsidR="00C350CD" w:rsidRDefault="00C350CD" w:rsidP="00C350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p w14:paraId="4A0C0251" w14:textId="77777777" w:rsidR="00C350CD" w:rsidRDefault="00C35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4993"/>
      <w:docPartObj>
        <w:docPartGallery w:val="Page Numbers (Bottom of Page)"/>
        <w:docPartUnique/>
      </w:docPartObj>
    </w:sdtPr>
    <w:sdtContent>
      <w:sdt>
        <w:sdtPr>
          <w:id w:val="-1705238520"/>
          <w:docPartObj>
            <w:docPartGallery w:val="Page Numbers (Top of Page)"/>
            <w:docPartUnique/>
          </w:docPartObj>
        </w:sdtPr>
        <w:sdtContent>
          <w:p w14:paraId="69E1BAF4" w14:textId="2B81C6D3" w:rsidR="00C350CD" w:rsidRDefault="00C350CD" w:rsidP="00C350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72286D" w14:textId="77777777" w:rsidR="00C350CD" w:rsidRDefault="00C3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2615" w14:textId="77777777" w:rsidR="0068232D" w:rsidRDefault="0068232D" w:rsidP="00233669">
      <w:pPr>
        <w:spacing w:after="0" w:line="240" w:lineRule="auto"/>
      </w:pPr>
      <w:r>
        <w:separator/>
      </w:r>
    </w:p>
  </w:footnote>
  <w:footnote w:type="continuationSeparator" w:id="0">
    <w:p w14:paraId="3B73ADE5" w14:textId="77777777" w:rsidR="0068232D" w:rsidRDefault="0068232D" w:rsidP="00233669">
      <w:pPr>
        <w:spacing w:after="0" w:line="240" w:lineRule="auto"/>
      </w:pPr>
      <w:r>
        <w:continuationSeparator/>
      </w:r>
    </w:p>
  </w:footnote>
  <w:footnote w:type="continuationNotice" w:id="1">
    <w:p w14:paraId="24FE82FC" w14:textId="77777777" w:rsidR="0068232D" w:rsidRDefault="00682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B674" w14:textId="73D5001B" w:rsidR="00AC6B5B" w:rsidRDefault="00000000">
    <w:pPr>
      <w:pStyle w:val="Header"/>
    </w:pPr>
    <w:r>
      <w:rPr>
        <w:noProof/>
      </w:rPr>
      <w:pict w14:anchorId="1297A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4907" o:spid="_x0000_s1026" type="#_x0000_t136" style="position:absolute;margin-left:0;margin-top:0;width:477.15pt;height:159.05pt;rotation:315;z-index:-251655168;mso-position-horizontal:center;mso-position-horizontal-relative:margin;mso-position-vertical:center;mso-position-vertical-relative:margin" o:allowincell="f" fillcolor="silver" stroked="f">
          <v:fill opacity=".5"/>
          <v:textpath style="font-family:&quot;Calibri&quot;;font-size:1pt" string="PUBLISH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205D" w14:textId="2B244CD4" w:rsidR="00AC6B5B" w:rsidRDefault="00000000">
    <w:pPr>
      <w:pStyle w:val="Header"/>
    </w:pPr>
    <w:r>
      <w:rPr>
        <w:noProof/>
      </w:rPr>
      <w:pict w14:anchorId="3D910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4908" o:spid="_x0000_s1027" type="#_x0000_t136" style="position:absolute;margin-left:0;margin-top:0;width:477.15pt;height:159.05pt;rotation:315;z-index:-251653120;mso-position-horizontal:center;mso-position-horizontal-relative:margin;mso-position-vertical:center;mso-position-vertical-relative:margin" o:allowincell="f" fillcolor="silver" stroked="f">
          <v:fill opacity=".5"/>
          <v:textpath style="font-family:&quot;Calibri&quot;;font-size:1pt" string="PUBLISH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095"/>
      <w:gridCol w:w="1984"/>
    </w:tblGrid>
    <w:tr w:rsidR="00D816EB" w:rsidRPr="009F4D36" w14:paraId="3D21A599" w14:textId="77777777" w:rsidTr="00F22E0B">
      <w:tc>
        <w:tcPr>
          <w:tcW w:w="1849" w:type="dxa"/>
        </w:tcPr>
        <w:p w14:paraId="7E46E890" w14:textId="66D12CEF" w:rsidR="00D816EB" w:rsidRPr="0000042C" w:rsidRDefault="00D816EB" w:rsidP="003F6023">
          <w:pPr>
            <w:pStyle w:val="Header"/>
            <w:rPr>
              <w:b/>
              <w:bCs/>
            </w:rPr>
          </w:pPr>
          <w:r w:rsidRPr="0000042C">
            <w:rPr>
              <w:b/>
              <w:bCs/>
              <w:noProof/>
              <w:lang w:eastAsia="en-GB"/>
            </w:rPr>
            <w:drawing>
              <wp:inline distT="0" distB="0" distL="0" distR="0" wp14:anchorId="3823F5EF" wp14:editId="569E9928">
                <wp:extent cx="894853" cy="480060"/>
                <wp:effectExtent l="0" t="0" r="635" b="0"/>
                <wp:docPr id="94667856" name="Picture 94667856" descr="Sheffield Hallam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effield Hallam University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6095" w:type="dxa"/>
        </w:tcPr>
        <w:p w14:paraId="7D088FFF" w14:textId="2AA418D7" w:rsidR="00AC6B5B" w:rsidRDefault="00F22E0B" w:rsidP="00F22E0B">
          <w:pPr>
            <w:pStyle w:val="Header"/>
            <w:jc w:val="center"/>
            <w:rPr>
              <w:b/>
              <w:bCs/>
              <w:sz w:val="24"/>
              <w:szCs w:val="24"/>
            </w:rPr>
          </w:pPr>
          <w:r>
            <w:rPr>
              <w:b/>
              <w:bCs/>
              <w:sz w:val="24"/>
              <w:szCs w:val="24"/>
            </w:rPr>
            <w:t xml:space="preserve">REMUNERATION STATEMENT </w:t>
          </w:r>
        </w:p>
        <w:p w14:paraId="2D1002FC" w14:textId="7459AFF1" w:rsidR="00D816EB" w:rsidRPr="00075CA4" w:rsidRDefault="00D816EB" w:rsidP="00F22E0B">
          <w:pPr>
            <w:pStyle w:val="Header"/>
            <w:jc w:val="center"/>
            <w:rPr>
              <w:b/>
              <w:bCs/>
              <w:sz w:val="24"/>
              <w:szCs w:val="24"/>
            </w:rPr>
          </w:pPr>
        </w:p>
      </w:tc>
      <w:tc>
        <w:tcPr>
          <w:tcW w:w="1984" w:type="dxa"/>
        </w:tcPr>
        <w:p w14:paraId="2EEFB5E4" w14:textId="06295EEE" w:rsidR="00E61FEA" w:rsidRPr="00075CA4" w:rsidRDefault="004F2D65" w:rsidP="00D816EB">
          <w:pPr>
            <w:pStyle w:val="Header"/>
            <w:jc w:val="right"/>
            <w:rPr>
              <w:b/>
              <w:bCs/>
              <w:sz w:val="24"/>
              <w:szCs w:val="24"/>
            </w:rPr>
          </w:pPr>
          <w:r>
            <w:rPr>
              <w:b/>
              <w:bCs/>
              <w:sz w:val="24"/>
              <w:szCs w:val="24"/>
            </w:rPr>
            <w:t>2024/25</w:t>
          </w:r>
        </w:p>
      </w:tc>
    </w:tr>
  </w:tbl>
  <w:p w14:paraId="4EDABA25" w14:textId="74D658FA" w:rsidR="00D816EB" w:rsidRDefault="00000000">
    <w:pPr>
      <w:pStyle w:val="Header"/>
    </w:pPr>
    <w:r>
      <w:rPr>
        <w:noProof/>
      </w:rPr>
      <w:pict w14:anchorId="7C697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4906" o:spid="_x0000_s1025" type="#_x0000_t136" style="position:absolute;margin-left:0;margin-top:0;width:477.15pt;height:159.05pt;rotation:315;z-index:-251657216;mso-position-horizontal:center;mso-position-horizontal-relative:margin;mso-position-vertical:center;mso-position-vertical-relative:margin" o:allowincell="f" fillcolor="silver" stroked="f">
          <v:fill opacity=".5"/>
          <v:textpath style="font-family:&quot;Calibri&quot;;font-size:1pt" string="PUBLISH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BCF"/>
    <w:multiLevelType w:val="hybridMultilevel"/>
    <w:tmpl w:val="69704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00BC9"/>
    <w:multiLevelType w:val="hybridMultilevel"/>
    <w:tmpl w:val="7B90A764"/>
    <w:lvl w:ilvl="0" w:tplc="08090001">
      <w:start w:val="1"/>
      <w:numFmt w:val="bullet"/>
      <w:lvlText w:val=""/>
      <w:lvlJc w:val="left"/>
      <w:pPr>
        <w:ind w:left="721" w:hanging="360"/>
      </w:pPr>
      <w:rPr>
        <w:rFonts w:ascii="Symbol" w:hAnsi="Symbol" w:hint="default"/>
        <w:b w:val="0"/>
        <w:bCs w:val="0"/>
        <w:sz w:val="22"/>
        <w:szCs w:val="22"/>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 w15:restartNumberingAfterBreak="0">
    <w:nsid w:val="083A3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00352"/>
    <w:multiLevelType w:val="hybridMultilevel"/>
    <w:tmpl w:val="8864D354"/>
    <w:lvl w:ilvl="0" w:tplc="EC4CC6CC">
      <w:start w:val="1"/>
      <w:numFmt w:val="lowerLetter"/>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73490"/>
    <w:multiLevelType w:val="hybridMultilevel"/>
    <w:tmpl w:val="88BC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35F26"/>
    <w:multiLevelType w:val="hybridMultilevel"/>
    <w:tmpl w:val="77D81778"/>
    <w:lvl w:ilvl="0" w:tplc="3428455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894B96"/>
    <w:multiLevelType w:val="hybridMultilevel"/>
    <w:tmpl w:val="18EC9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3F9B"/>
    <w:multiLevelType w:val="hybridMultilevel"/>
    <w:tmpl w:val="FA681CBE"/>
    <w:lvl w:ilvl="0" w:tplc="0EAAF526">
      <w:start w:val="1"/>
      <w:numFmt w:val="bullet"/>
      <w:lvlText w:val="·"/>
      <w:lvlJc w:val="left"/>
      <w:pPr>
        <w:ind w:left="360" w:hanging="360"/>
      </w:pPr>
      <w:rPr>
        <w:rFonts w:ascii="Symbol" w:hAnsi="Symbol" w:hint="default"/>
      </w:rPr>
    </w:lvl>
    <w:lvl w:ilvl="1" w:tplc="41BC3C00">
      <w:start w:val="1"/>
      <w:numFmt w:val="bullet"/>
      <w:lvlText w:val="o"/>
      <w:lvlJc w:val="left"/>
      <w:pPr>
        <w:ind w:left="1080" w:hanging="360"/>
      </w:pPr>
      <w:rPr>
        <w:rFonts w:ascii="Courier New" w:hAnsi="Courier New" w:hint="default"/>
      </w:rPr>
    </w:lvl>
    <w:lvl w:ilvl="2" w:tplc="2354AF52">
      <w:start w:val="1"/>
      <w:numFmt w:val="bullet"/>
      <w:lvlText w:val=""/>
      <w:lvlJc w:val="left"/>
      <w:pPr>
        <w:ind w:left="1800" w:hanging="360"/>
      </w:pPr>
      <w:rPr>
        <w:rFonts w:ascii="Wingdings" w:hAnsi="Wingdings" w:hint="default"/>
      </w:rPr>
    </w:lvl>
    <w:lvl w:ilvl="3" w:tplc="53D6B67E">
      <w:start w:val="1"/>
      <w:numFmt w:val="bullet"/>
      <w:lvlText w:val=""/>
      <w:lvlJc w:val="left"/>
      <w:pPr>
        <w:ind w:left="2520" w:hanging="360"/>
      </w:pPr>
      <w:rPr>
        <w:rFonts w:ascii="Symbol" w:hAnsi="Symbol" w:hint="default"/>
      </w:rPr>
    </w:lvl>
    <w:lvl w:ilvl="4" w:tplc="A358DA3A">
      <w:start w:val="1"/>
      <w:numFmt w:val="bullet"/>
      <w:lvlText w:val="o"/>
      <w:lvlJc w:val="left"/>
      <w:pPr>
        <w:ind w:left="3240" w:hanging="360"/>
      </w:pPr>
      <w:rPr>
        <w:rFonts w:ascii="Courier New" w:hAnsi="Courier New" w:hint="default"/>
      </w:rPr>
    </w:lvl>
    <w:lvl w:ilvl="5" w:tplc="63402C4E">
      <w:start w:val="1"/>
      <w:numFmt w:val="bullet"/>
      <w:lvlText w:val=""/>
      <w:lvlJc w:val="left"/>
      <w:pPr>
        <w:ind w:left="3960" w:hanging="360"/>
      </w:pPr>
      <w:rPr>
        <w:rFonts w:ascii="Wingdings" w:hAnsi="Wingdings" w:hint="default"/>
      </w:rPr>
    </w:lvl>
    <w:lvl w:ilvl="6" w:tplc="09BE24D6">
      <w:start w:val="1"/>
      <w:numFmt w:val="bullet"/>
      <w:lvlText w:val=""/>
      <w:lvlJc w:val="left"/>
      <w:pPr>
        <w:ind w:left="4680" w:hanging="360"/>
      </w:pPr>
      <w:rPr>
        <w:rFonts w:ascii="Symbol" w:hAnsi="Symbol" w:hint="default"/>
      </w:rPr>
    </w:lvl>
    <w:lvl w:ilvl="7" w:tplc="8E7212E6">
      <w:start w:val="1"/>
      <w:numFmt w:val="bullet"/>
      <w:lvlText w:val="o"/>
      <w:lvlJc w:val="left"/>
      <w:pPr>
        <w:ind w:left="5400" w:hanging="360"/>
      </w:pPr>
      <w:rPr>
        <w:rFonts w:ascii="Courier New" w:hAnsi="Courier New" w:hint="default"/>
      </w:rPr>
    </w:lvl>
    <w:lvl w:ilvl="8" w:tplc="6616E0CA">
      <w:start w:val="1"/>
      <w:numFmt w:val="bullet"/>
      <w:lvlText w:val=""/>
      <w:lvlJc w:val="left"/>
      <w:pPr>
        <w:ind w:left="6120" w:hanging="360"/>
      </w:pPr>
      <w:rPr>
        <w:rFonts w:ascii="Wingdings" w:hAnsi="Wingdings" w:hint="default"/>
      </w:rPr>
    </w:lvl>
  </w:abstractNum>
  <w:abstractNum w:abstractNumId="8" w15:restartNumberingAfterBreak="0">
    <w:nsid w:val="1C650E74"/>
    <w:multiLevelType w:val="hybridMultilevel"/>
    <w:tmpl w:val="44A4A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857C9F"/>
    <w:multiLevelType w:val="hybridMultilevel"/>
    <w:tmpl w:val="5D9C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87797"/>
    <w:multiLevelType w:val="hybridMultilevel"/>
    <w:tmpl w:val="270A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9770F"/>
    <w:multiLevelType w:val="hybridMultilevel"/>
    <w:tmpl w:val="841A5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F3B1999"/>
    <w:multiLevelType w:val="hybridMultilevel"/>
    <w:tmpl w:val="87A44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5C1D39"/>
    <w:multiLevelType w:val="hybridMultilevel"/>
    <w:tmpl w:val="88E8CA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8CD4B07"/>
    <w:multiLevelType w:val="hybridMultilevel"/>
    <w:tmpl w:val="2E12F28A"/>
    <w:lvl w:ilvl="0" w:tplc="AF46C3B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EF1CBE"/>
    <w:multiLevelType w:val="hybridMultilevel"/>
    <w:tmpl w:val="A44EB4D2"/>
    <w:lvl w:ilvl="0" w:tplc="08090001">
      <w:start w:val="1"/>
      <w:numFmt w:val="bullet"/>
      <w:lvlText w:val=""/>
      <w:lvlJc w:val="left"/>
      <w:pPr>
        <w:ind w:left="345" w:hanging="360"/>
      </w:pPr>
      <w:rPr>
        <w:rFonts w:ascii="Symbol" w:hAnsi="Symbol" w:hint="default"/>
      </w:rPr>
    </w:lvl>
    <w:lvl w:ilvl="1" w:tplc="FFFFFFFF">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16" w15:restartNumberingAfterBreak="0">
    <w:nsid w:val="42F3188E"/>
    <w:multiLevelType w:val="hybridMultilevel"/>
    <w:tmpl w:val="4EA8012C"/>
    <w:lvl w:ilvl="0" w:tplc="0809000F">
      <w:start w:val="1"/>
      <w:numFmt w:val="decimal"/>
      <w:lvlText w:val="%1."/>
      <w:lvlJc w:val="left"/>
      <w:pPr>
        <w:ind w:left="361" w:hanging="361"/>
      </w:pPr>
      <w:rPr>
        <w:rFonts w:hint="default"/>
        <w:w w:val="100"/>
        <w:sz w:val="22"/>
        <w:szCs w:val="22"/>
      </w:rPr>
    </w:lvl>
    <w:lvl w:ilvl="1" w:tplc="887C90A8">
      <w:start w:val="1"/>
      <w:numFmt w:val="bullet"/>
      <w:lvlText w:val="•"/>
      <w:lvlJc w:val="left"/>
      <w:pPr>
        <w:ind w:left="1141" w:hanging="361"/>
      </w:pPr>
      <w:rPr>
        <w:rFonts w:hint="default"/>
      </w:rPr>
    </w:lvl>
    <w:lvl w:ilvl="2" w:tplc="04CEC930">
      <w:start w:val="1"/>
      <w:numFmt w:val="bullet"/>
      <w:lvlText w:val="•"/>
      <w:lvlJc w:val="left"/>
      <w:pPr>
        <w:ind w:left="1928" w:hanging="361"/>
      </w:pPr>
      <w:rPr>
        <w:rFonts w:hint="default"/>
      </w:rPr>
    </w:lvl>
    <w:lvl w:ilvl="3" w:tplc="F1D29D84">
      <w:start w:val="1"/>
      <w:numFmt w:val="bullet"/>
      <w:lvlText w:val="•"/>
      <w:lvlJc w:val="left"/>
      <w:pPr>
        <w:ind w:left="2714" w:hanging="361"/>
      </w:pPr>
      <w:rPr>
        <w:rFonts w:hint="default"/>
      </w:rPr>
    </w:lvl>
    <w:lvl w:ilvl="4" w:tplc="4B580136">
      <w:start w:val="1"/>
      <w:numFmt w:val="bullet"/>
      <w:lvlText w:val="•"/>
      <w:lvlJc w:val="left"/>
      <w:pPr>
        <w:ind w:left="3501" w:hanging="361"/>
      </w:pPr>
      <w:rPr>
        <w:rFonts w:hint="default"/>
      </w:rPr>
    </w:lvl>
    <w:lvl w:ilvl="5" w:tplc="B38A4380">
      <w:start w:val="1"/>
      <w:numFmt w:val="bullet"/>
      <w:lvlText w:val="•"/>
      <w:lvlJc w:val="left"/>
      <w:pPr>
        <w:ind w:left="4288" w:hanging="361"/>
      </w:pPr>
      <w:rPr>
        <w:rFonts w:hint="default"/>
      </w:rPr>
    </w:lvl>
    <w:lvl w:ilvl="6" w:tplc="19DAFF4A">
      <w:start w:val="1"/>
      <w:numFmt w:val="bullet"/>
      <w:lvlText w:val="•"/>
      <w:lvlJc w:val="left"/>
      <w:pPr>
        <w:ind w:left="5074" w:hanging="361"/>
      </w:pPr>
      <w:rPr>
        <w:rFonts w:hint="default"/>
      </w:rPr>
    </w:lvl>
    <w:lvl w:ilvl="7" w:tplc="800E08D2">
      <w:start w:val="1"/>
      <w:numFmt w:val="bullet"/>
      <w:lvlText w:val="•"/>
      <w:lvlJc w:val="left"/>
      <w:pPr>
        <w:ind w:left="5861" w:hanging="361"/>
      </w:pPr>
      <w:rPr>
        <w:rFonts w:hint="default"/>
      </w:rPr>
    </w:lvl>
    <w:lvl w:ilvl="8" w:tplc="D88AA5AC">
      <w:start w:val="1"/>
      <w:numFmt w:val="bullet"/>
      <w:lvlText w:val="•"/>
      <w:lvlJc w:val="left"/>
      <w:pPr>
        <w:ind w:left="6648" w:hanging="361"/>
      </w:pPr>
      <w:rPr>
        <w:rFonts w:hint="default"/>
      </w:rPr>
    </w:lvl>
  </w:abstractNum>
  <w:abstractNum w:abstractNumId="17" w15:restartNumberingAfterBreak="0">
    <w:nsid w:val="43DE6999"/>
    <w:multiLevelType w:val="hybridMultilevel"/>
    <w:tmpl w:val="B68EFCF2"/>
    <w:lvl w:ilvl="0" w:tplc="85184C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1F29F6"/>
    <w:multiLevelType w:val="hybridMultilevel"/>
    <w:tmpl w:val="2C2C213A"/>
    <w:lvl w:ilvl="0" w:tplc="F3269A3C">
      <w:start w:val="1"/>
      <w:numFmt w:val="decimal"/>
      <w:lvlText w:val="%1."/>
      <w:lvlJc w:val="left"/>
      <w:pPr>
        <w:ind w:left="360" w:hanging="360"/>
      </w:pPr>
      <w:rPr>
        <w:rFonts w:asciiTheme="minorHAnsi" w:hAnsiTheme="minorHAnsi" w:cs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416B59"/>
    <w:multiLevelType w:val="hybridMultilevel"/>
    <w:tmpl w:val="1934618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903241"/>
    <w:multiLevelType w:val="hybridMultilevel"/>
    <w:tmpl w:val="378A0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1F324E"/>
    <w:multiLevelType w:val="hybridMultilevel"/>
    <w:tmpl w:val="2506B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63E72"/>
    <w:multiLevelType w:val="hybridMultilevel"/>
    <w:tmpl w:val="D0304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566CE6"/>
    <w:multiLevelType w:val="hybridMultilevel"/>
    <w:tmpl w:val="0F06C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850AEF"/>
    <w:multiLevelType w:val="hybridMultilevel"/>
    <w:tmpl w:val="9E8E4410"/>
    <w:lvl w:ilvl="0" w:tplc="49A80044">
      <w:start w:val="1"/>
      <w:numFmt w:val="lowerLetter"/>
      <w:lvlText w:val="%1."/>
      <w:lvlJc w:val="left"/>
      <w:pPr>
        <w:ind w:left="361" w:hanging="360"/>
      </w:pPr>
      <w:rPr>
        <w:rFonts w:hint="default"/>
        <w:b w:val="0"/>
        <w:bCs w:val="0"/>
        <w:sz w:val="22"/>
        <w:szCs w:val="22"/>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5" w15:restartNumberingAfterBreak="0">
    <w:nsid w:val="623A0FEC"/>
    <w:multiLevelType w:val="hybridMultilevel"/>
    <w:tmpl w:val="0D2EF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700E43"/>
    <w:multiLevelType w:val="hybridMultilevel"/>
    <w:tmpl w:val="88AC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62320"/>
    <w:multiLevelType w:val="hybridMultilevel"/>
    <w:tmpl w:val="84D20F08"/>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8" w15:restartNumberingAfterBreak="0">
    <w:nsid w:val="6C0C68EB"/>
    <w:multiLevelType w:val="hybridMultilevel"/>
    <w:tmpl w:val="91747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134262"/>
    <w:multiLevelType w:val="hybridMultilevel"/>
    <w:tmpl w:val="B7BAD8AA"/>
    <w:lvl w:ilvl="0" w:tplc="FD6A6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C42768"/>
    <w:multiLevelType w:val="hybridMultilevel"/>
    <w:tmpl w:val="AACAA40E"/>
    <w:lvl w:ilvl="0" w:tplc="82242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2A3858"/>
    <w:multiLevelType w:val="hybridMultilevel"/>
    <w:tmpl w:val="2BA4B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7276394">
    <w:abstractNumId w:val="2"/>
  </w:num>
  <w:num w:numId="2" w16cid:durableId="1437674357">
    <w:abstractNumId w:val="19"/>
  </w:num>
  <w:num w:numId="3" w16cid:durableId="1412386055">
    <w:abstractNumId w:val="3"/>
  </w:num>
  <w:num w:numId="4" w16cid:durableId="934747803">
    <w:abstractNumId w:val="8"/>
  </w:num>
  <w:num w:numId="5" w16cid:durableId="1780829858">
    <w:abstractNumId w:val="14"/>
  </w:num>
  <w:num w:numId="6" w16cid:durableId="1919825210">
    <w:abstractNumId w:val="17"/>
  </w:num>
  <w:num w:numId="7" w16cid:durableId="1057240025">
    <w:abstractNumId w:val="5"/>
  </w:num>
  <w:num w:numId="8" w16cid:durableId="941570677">
    <w:abstractNumId w:val="16"/>
  </w:num>
  <w:num w:numId="9" w16cid:durableId="1708869970">
    <w:abstractNumId w:val="24"/>
  </w:num>
  <w:num w:numId="10" w16cid:durableId="570428173">
    <w:abstractNumId w:val="18"/>
  </w:num>
  <w:num w:numId="11" w16cid:durableId="528571572">
    <w:abstractNumId w:val="7"/>
  </w:num>
  <w:num w:numId="12" w16cid:durableId="1412892170">
    <w:abstractNumId w:val="25"/>
  </w:num>
  <w:num w:numId="13" w16cid:durableId="1082534075">
    <w:abstractNumId w:val="20"/>
  </w:num>
  <w:num w:numId="14" w16cid:durableId="1473252072">
    <w:abstractNumId w:val="30"/>
  </w:num>
  <w:num w:numId="15" w16cid:durableId="804279831">
    <w:abstractNumId w:val="27"/>
  </w:num>
  <w:num w:numId="16" w16cid:durableId="1158494086">
    <w:abstractNumId w:val="1"/>
  </w:num>
  <w:num w:numId="17" w16cid:durableId="1049258863">
    <w:abstractNumId w:val="22"/>
  </w:num>
  <w:num w:numId="18" w16cid:durableId="250479421">
    <w:abstractNumId w:val="31"/>
  </w:num>
  <w:num w:numId="19" w16cid:durableId="1565338472">
    <w:abstractNumId w:val="15"/>
  </w:num>
  <w:num w:numId="20" w16cid:durableId="1737312121">
    <w:abstractNumId w:val="9"/>
  </w:num>
  <w:num w:numId="21" w16cid:durableId="26758463">
    <w:abstractNumId w:val="10"/>
  </w:num>
  <w:num w:numId="22" w16cid:durableId="1688560668">
    <w:abstractNumId w:val="23"/>
  </w:num>
  <w:num w:numId="23" w16cid:durableId="1089161874">
    <w:abstractNumId w:val="11"/>
  </w:num>
  <w:num w:numId="24" w16cid:durableId="525943913">
    <w:abstractNumId w:val="13"/>
  </w:num>
  <w:num w:numId="25" w16cid:durableId="1768043326">
    <w:abstractNumId w:val="0"/>
  </w:num>
  <w:num w:numId="26" w16cid:durableId="1711690143">
    <w:abstractNumId w:val="29"/>
  </w:num>
  <w:num w:numId="27" w16cid:durableId="455025168">
    <w:abstractNumId w:val="28"/>
  </w:num>
  <w:num w:numId="28" w16cid:durableId="1476097032">
    <w:abstractNumId w:val="12"/>
  </w:num>
  <w:num w:numId="29" w16cid:durableId="181012790">
    <w:abstractNumId w:val="6"/>
  </w:num>
  <w:num w:numId="30" w16cid:durableId="1761293120">
    <w:abstractNumId w:val="26"/>
  </w:num>
  <w:num w:numId="31" w16cid:durableId="1515263010">
    <w:abstractNumId w:val="4"/>
  </w:num>
  <w:num w:numId="32" w16cid:durableId="82354769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69"/>
    <w:rsid w:val="0000009B"/>
    <w:rsid w:val="0000081D"/>
    <w:rsid w:val="00001226"/>
    <w:rsid w:val="00001B3D"/>
    <w:rsid w:val="000034AA"/>
    <w:rsid w:val="000044CC"/>
    <w:rsid w:val="000054DE"/>
    <w:rsid w:val="0001117D"/>
    <w:rsid w:val="000119BC"/>
    <w:rsid w:val="00015EF9"/>
    <w:rsid w:val="00016A6D"/>
    <w:rsid w:val="000175FA"/>
    <w:rsid w:val="00017704"/>
    <w:rsid w:val="00017C20"/>
    <w:rsid w:val="00017CDE"/>
    <w:rsid w:val="000246AE"/>
    <w:rsid w:val="00027981"/>
    <w:rsid w:val="00027A25"/>
    <w:rsid w:val="000307F2"/>
    <w:rsid w:val="00030CBC"/>
    <w:rsid w:val="00031683"/>
    <w:rsid w:val="00032AB4"/>
    <w:rsid w:val="00033C7F"/>
    <w:rsid w:val="00037C49"/>
    <w:rsid w:val="00040874"/>
    <w:rsid w:val="00041B0F"/>
    <w:rsid w:val="00042AA9"/>
    <w:rsid w:val="000436A8"/>
    <w:rsid w:val="00045A6D"/>
    <w:rsid w:val="000467AD"/>
    <w:rsid w:val="000467EF"/>
    <w:rsid w:val="0005314A"/>
    <w:rsid w:val="00053AA3"/>
    <w:rsid w:val="00054849"/>
    <w:rsid w:val="00054A9B"/>
    <w:rsid w:val="000556D6"/>
    <w:rsid w:val="00055C6B"/>
    <w:rsid w:val="00056FB6"/>
    <w:rsid w:val="000615CD"/>
    <w:rsid w:val="00067FEB"/>
    <w:rsid w:val="000705ED"/>
    <w:rsid w:val="00072CE1"/>
    <w:rsid w:val="00073ED8"/>
    <w:rsid w:val="00075CA4"/>
    <w:rsid w:val="0007683D"/>
    <w:rsid w:val="00077A41"/>
    <w:rsid w:val="00082907"/>
    <w:rsid w:val="0008343A"/>
    <w:rsid w:val="00085B8D"/>
    <w:rsid w:val="00087F92"/>
    <w:rsid w:val="00092E33"/>
    <w:rsid w:val="00092F15"/>
    <w:rsid w:val="000978C6"/>
    <w:rsid w:val="000A00BB"/>
    <w:rsid w:val="000A014A"/>
    <w:rsid w:val="000A154B"/>
    <w:rsid w:val="000A330D"/>
    <w:rsid w:val="000A4896"/>
    <w:rsid w:val="000A5CF9"/>
    <w:rsid w:val="000B0FFE"/>
    <w:rsid w:val="000B4796"/>
    <w:rsid w:val="000B4D59"/>
    <w:rsid w:val="000B5374"/>
    <w:rsid w:val="000B70B0"/>
    <w:rsid w:val="000B77AC"/>
    <w:rsid w:val="000C10C0"/>
    <w:rsid w:val="000C25D6"/>
    <w:rsid w:val="000C3995"/>
    <w:rsid w:val="000C6CCA"/>
    <w:rsid w:val="000C73FC"/>
    <w:rsid w:val="000D0881"/>
    <w:rsid w:val="000D09EF"/>
    <w:rsid w:val="000D3EEB"/>
    <w:rsid w:val="000E0425"/>
    <w:rsid w:val="000E2822"/>
    <w:rsid w:val="000F149C"/>
    <w:rsid w:val="000F5049"/>
    <w:rsid w:val="000F5985"/>
    <w:rsid w:val="000F7DAC"/>
    <w:rsid w:val="001001A4"/>
    <w:rsid w:val="00100A9E"/>
    <w:rsid w:val="001011A9"/>
    <w:rsid w:val="00104A96"/>
    <w:rsid w:val="00105CA5"/>
    <w:rsid w:val="001068DF"/>
    <w:rsid w:val="00106AE3"/>
    <w:rsid w:val="00106E2C"/>
    <w:rsid w:val="00107C00"/>
    <w:rsid w:val="001103E8"/>
    <w:rsid w:val="00110C67"/>
    <w:rsid w:val="0011451B"/>
    <w:rsid w:val="00114C48"/>
    <w:rsid w:val="00115273"/>
    <w:rsid w:val="00117563"/>
    <w:rsid w:val="00120C62"/>
    <w:rsid w:val="00120E47"/>
    <w:rsid w:val="0013577A"/>
    <w:rsid w:val="001375AB"/>
    <w:rsid w:val="001379AE"/>
    <w:rsid w:val="001408EA"/>
    <w:rsid w:val="001416A2"/>
    <w:rsid w:val="0014240B"/>
    <w:rsid w:val="00143E2B"/>
    <w:rsid w:val="00144B56"/>
    <w:rsid w:val="00150AC4"/>
    <w:rsid w:val="00153E62"/>
    <w:rsid w:val="00154B7A"/>
    <w:rsid w:val="00164C74"/>
    <w:rsid w:val="001651F5"/>
    <w:rsid w:val="001652A6"/>
    <w:rsid w:val="0016684D"/>
    <w:rsid w:val="001675F1"/>
    <w:rsid w:val="00167BE9"/>
    <w:rsid w:val="001717EE"/>
    <w:rsid w:val="00173671"/>
    <w:rsid w:val="00173A71"/>
    <w:rsid w:val="00177B23"/>
    <w:rsid w:val="00183D68"/>
    <w:rsid w:val="00185AB9"/>
    <w:rsid w:val="00186C63"/>
    <w:rsid w:val="001903DE"/>
    <w:rsid w:val="00191926"/>
    <w:rsid w:val="0019205A"/>
    <w:rsid w:val="001934AC"/>
    <w:rsid w:val="00193A6C"/>
    <w:rsid w:val="0019584C"/>
    <w:rsid w:val="0019591F"/>
    <w:rsid w:val="00195939"/>
    <w:rsid w:val="001A018B"/>
    <w:rsid w:val="001A0601"/>
    <w:rsid w:val="001A1963"/>
    <w:rsid w:val="001A3494"/>
    <w:rsid w:val="001A5623"/>
    <w:rsid w:val="001A57D5"/>
    <w:rsid w:val="001A63CC"/>
    <w:rsid w:val="001A6B15"/>
    <w:rsid w:val="001A6DFA"/>
    <w:rsid w:val="001B0E0B"/>
    <w:rsid w:val="001B0E50"/>
    <w:rsid w:val="001B13D0"/>
    <w:rsid w:val="001B1BD8"/>
    <w:rsid w:val="001B1F71"/>
    <w:rsid w:val="001B3D66"/>
    <w:rsid w:val="001B7850"/>
    <w:rsid w:val="001C166C"/>
    <w:rsid w:val="001C1BA6"/>
    <w:rsid w:val="001C2046"/>
    <w:rsid w:val="001C2DC2"/>
    <w:rsid w:val="001C4A0F"/>
    <w:rsid w:val="001C67CE"/>
    <w:rsid w:val="001C680F"/>
    <w:rsid w:val="001C7C4A"/>
    <w:rsid w:val="001D2CDD"/>
    <w:rsid w:val="001D5058"/>
    <w:rsid w:val="001E42CC"/>
    <w:rsid w:val="001E4B8C"/>
    <w:rsid w:val="001F04D1"/>
    <w:rsid w:val="001F3EA8"/>
    <w:rsid w:val="001F4FEE"/>
    <w:rsid w:val="001F541A"/>
    <w:rsid w:val="001F56D2"/>
    <w:rsid w:val="001F5B3F"/>
    <w:rsid w:val="001F60B0"/>
    <w:rsid w:val="001F6DBB"/>
    <w:rsid w:val="001F7DEC"/>
    <w:rsid w:val="00201743"/>
    <w:rsid w:val="00201CFB"/>
    <w:rsid w:val="0020310F"/>
    <w:rsid w:val="0020368C"/>
    <w:rsid w:val="00204E33"/>
    <w:rsid w:val="00211092"/>
    <w:rsid w:val="00211B35"/>
    <w:rsid w:val="00214A27"/>
    <w:rsid w:val="00217827"/>
    <w:rsid w:val="00217F92"/>
    <w:rsid w:val="002227D7"/>
    <w:rsid w:val="00224149"/>
    <w:rsid w:val="00224491"/>
    <w:rsid w:val="002244A0"/>
    <w:rsid w:val="00224E67"/>
    <w:rsid w:val="002253DB"/>
    <w:rsid w:val="00226D2E"/>
    <w:rsid w:val="002318FE"/>
    <w:rsid w:val="0023256B"/>
    <w:rsid w:val="00233669"/>
    <w:rsid w:val="00237BE0"/>
    <w:rsid w:val="00241813"/>
    <w:rsid w:val="0024223E"/>
    <w:rsid w:val="002441AE"/>
    <w:rsid w:val="0024587A"/>
    <w:rsid w:val="0024779E"/>
    <w:rsid w:val="00251FD1"/>
    <w:rsid w:val="0025519D"/>
    <w:rsid w:val="00255D56"/>
    <w:rsid w:val="00260B98"/>
    <w:rsid w:val="00262079"/>
    <w:rsid w:val="00262C68"/>
    <w:rsid w:val="00265A83"/>
    <w:rsid w:val="00266917"/>
    <w:rsid w:val="002703EB"/>
    <w:rsid w:val="0027087E"/>
    <w:rsid w:val="0027177C"/>
    <w:rsid w:val="00271B83"/>
    <w:rsid w:val="00273360"/>
    <w:rsid w:val="00274C42"/>
    <w:rsid w:val="002753B9"/>
    <w:rsid w:val="00275AAD"/>
    <w:rsid w:val="00276DC7"/>
    <w:rsid w:val="00283AC6"/>
    <w:rsid w:val="002842D8"/>
    <w:rsid w:val="00286216"/>
    <w:rsid w:val="00286B07"/>
    <w:rsid w:val="002909D2"/>
    <w:rsid w:val="00291910"/>
    <w:rsid w:val="002932B1"/>
    <w:rsid w:val="00294047"/>
    <w:rsid w:val="0029424F"/>
    <w:rsid w:val="00294C17"/>
    <w:rsid w:val="0029553B"/>
    <w:rsid w:val="0029743A"/>
    <w:rsid w:val="002978D7"/>
    <w:rsid w:val="002A2B66"/>
    <w:rsid w:val="002A6598"/>
    <w:rsid w:val="002A6735"/>
    <w:rsid w:val="002B001B"/>
    <w:rsid w:val="002B0384"/>
    <w:rsid w:val="002B088D"/>
    <w:rsid w:val="002B356D"/>
    <w:rsid w:val="002B3BE4"/>
    <w:rsid w:val="002B53A4"/>
    <w:rsid w:val="002B5C4E"/>
    <w:rsid w:val="002B61F0"/>
    <w:rsid w:val="002B72E2"/>
    <w:rsid w:val="002C0FF3"/>
    <w:rsid w:val="002C3BA7"/>
    <w:rsid w:val="002C3DAB"/>
    <w:rsid w:val="002C54F6"/>
    <w:rsid w:val="002D0C57"/>
    <w:rsid w:val="002D14F9"/>
    <w:rsid w:val="002D40BF"/>
    <w:rsid w:val="002D580E"/>
    <w:rsid w:val="002D62F7"/>
    <w:rsid w:val="002D63D4"/>
    <w:rsid w:val="002D6725"/>
    <w:rsid w:val="002D6F04"/>
    <w:rsid w:val="002E0D09"/>
    <w:rsid w:val="002E175D"/>
    <w:rsid w:val="002E5621"/>
    <w:rsid w:val="002E6F2F"/>
    <w:rsid w:val="002E7FF1"/>
    <w:rsid w:val="002F2998"/>
    <w:rsid w:val="002F470B"/>
    <w:rsid w:val="003022E7"/>
    <w:rsid w:val="0030337D"/>
    <w:rsid w:val="0030390E"/>
    <w:rsid w:val="003039B7"/>
    <w:rsid w:val="00305E40"/>
    <w:rsid w:val="003112C9"/>
    <w:rsid w:val="00311D7B"/>
    <w:rsid w:val="0031555F"/>
    <w:rsid w:val="00317325"/>
    <w:rsid w:val="00320E0C"/>
    <w:rsid w:val="00331A6D"/>
    <w:rsid w:val="003322A7"/>
    <w:rsid w:val="0033283F"/>
    <w:rsid w:val="00332A46"/>
    <w:rsid w:val="003331BF"/>
    <w:rsid w:val="0033413B"/>
    <w:rsid w:val="0033586D"/>
    <w:rsid w:val="003371FB"/>
    <w:rsid w:val="00343764"/>
    <w:rsid w:val="0034389B"/>
    <w:rsid w:val="00345783"/>
    <w:rsid w:val="00346713"/>
    <w:rsid w:val="00347C49"/>
    <w:rsid w:val="00351B49"/>
    <w:rsid w:val="003520E1"/>
    <w:rsid w:val="00352369"/>
    <w:rsid w:val="00352BA0"/>
    <w:rsid w:val="00352D56"/>
    <w:rsid w:val="00353868"/>
    <w:rsid w:val="00354025"/>
    <w:rsid w:val="003545CE"/>
    <w:rsid w:val="00355FE3"/>
    <w:rsid w:val="003561B0"/>
    <w:rsid w:val="00356710"/>
    <w:rsid w:val="00356B1C"/>
    <w:rsid w:val="00356C3F"/>
    <w:rsid w:val="00357FDE"/>
    <w:rsid w:val="00361DC8"/>
    <w:rsid w:val="00362242"/>
    <w:rsid w:val="00362465"/>
    <w:rsid w:val="00364C40"/>
    <w:rsid w:val="003652F0"/>
    <w:rsid w:val="00365DAB"/>
    <w:rsid w:val="00366978"/>
    <w:rsid w:val="00366E3E"/>
    <w:rsid w:val="003670F2"/>
    <w:rsid w:val="00372087"/>
    <w:rsid w:val="00374388"/>
    <w:rsid w:val="00380A70"/>
    <w:rsid w:val="00384A73"/>
    <w:rsid w:val="00384C0F"/>
    <w:rsid w:val="00386387"/>
    <w:rsid w:val="00386E02"/>
    <w:rsid w:val="0038717F"/>
    <w:rsid w:val="003940B8"/>
    <w:rsid w:val="00394ECA"/>
    <w:rsid w:val="0039592D"/>
    <w:rsid w:val="003A0E5D"/>
    <w:rsid w:val="003A5498"/>
    <w:rsid w:val="003A5AED"/>
    <w:rsid w:val="003A6543"/>
    <w:rsid w:val="003B33C8"/>
    <w:rsid w:val="003B440D"/>
    <w:rsid w:val="003B75C1"/>
    <w:rsid w:val="003C1629"/>
    <w:rsid w:val="003C2E68"/>
    <w:rsid w:val="003C3C56"/>
    <w:rsid w:val="003C5178"/>
    <w:rsid w:val="003C5828"/>
    <w:rsid w:val="003D0558"/>
    <w:rsid w:val="003D29D0"/>
    <w:rsid w:val="003D29E2"/>
    <w:rsid w:val="003D41AB"/>
    <w:rsid w:val="003D5C4C"/>
    <w:rsid w:val="003E0FB3"/>
    <w:rsid w:val="003E11E4"/>
    <w:rsid w:val="003E246B"/>
    <w:rsid w:val="003E2821"/>
    <w:rsid w:val="003E3CA0"/>
    <w:rsid w:val="003E5588"/>
    <w:rsid w:val="003E5CCA"/>
    <w:rsid w:val="003E7A65"/>
    <w:rsid w:val="003F1048"/>
    <w:rsid w:val="003F5BAA"/>
    <w:rsid w:val="003F5EAA"/>
    <w:rsid w:val="003F6023"/>
    <w:rsid w:val="003F64F4"/>
    <w:rsid w:val="003F6EC0"/>
    <w:rsid w:val="003F7030"/>
    <w:rsid w:val="00400CC7"/>
    <w:rsid w:val="00402B7D"/>
    <w:rsid w:val="00402C5D"/>
    <w:rsid w:val="00404394"/>
    <w:rsid w:val="004053EE"/>
    <w:rsid w:val="00412528"/>
    <w:rsid w:val="004233D8"/>
    <w:rsid w:val="004302C4"/>
    <w:rsid w:val="0043094B"/>
    <w:rsid w:val="00432379"/>
    <w:rsid w:val="0043497F"/>
    <w:rsid w:val="00435AFE"/>
    <w:rsid w:val="00436E32"/>
    <w:rsid w:val="00437A58"/>
    <w:rsid w:val="00437C8E"/>
    <w:rsid w:val="00441B70"/>
    <w:rsid w:val="004420D2"/>
    <w:rsid w:val="00453B92"/>
    <w:rsid w:val="0045479C"/>
    <w:rsid w:val="00454B96"/>
    <w:rsid w:val="004578BE"/>
    <w:rsid w:val="00460E03"/>
    <w:rsid w:val="004618C0"/>
    <w:rsid w:val="00461E83"/>
    <w:rsid w:val="0046420C"/>
    <w:rsid w:val="004656A5"/>
    <w:rsid w:val="0046776A"/>
    <w:rsid w:val="00472F20"/>
    <w:rsid w:val="00473332"/>
    <w:rsid w:val="004741A4"/>
    <w:rsid w:val="00476552"/>
    <w:rsid w:val="0047670F"/>
    <w:rsid w:val="00477B05"/>
    <w:rsid w:val="004803FE"/>
    <w:rsid w:val="0048185E"/>
    <w:rsid w:val="00482019"/>
    <w:rsid w:val="00484A23"/>
    <w:rsid w:val="004857B0"/>
    <w:rsid w:val="00486AFB"/>
    <w:rsid w:val="0048764C"/>
    <w:rsid w:val="004A0706"/>
    <w:rsid w:val="004A3066"/>
    <w:rsid w:val="004A4369"/>
    <w:rsid w:val="004A4786"/>
    <w:rsid w:val="004A5678"/>
    <w:rsid w:val="004A63BB"/>
    <w:rsid w:val="004A67D7"/>
    <w:rsid w:val="004B3AB3"/>
    <w:rsid w:val="004B3B75"/>
    <w:rsid w:val="004B5955"/>
    <w:rsid w:val="004B68CA"/>
    <w:rsid w:val="004B692C"/>
    <w:rsid w:val="004C0B4E"/>
    <w:rsid w:val="004C350F"/>
    <w:rsid w:val="004C387F"/>
    <w:rsid w:val="004C3D40"/>
    <w:rsid w:val="004C3E2F"/>
    <w:rsid w:val="004C5855"/>
    <w:rsid w:val="004D1A9D"/>
    <w:rsid w:val="004D23BA"/>
    <w:rsid w:val="004D2BFB"/>
    <w:rsid w:val="004D2EF1"/>
    <w:rsid w:val="004D301E"/>
    <w:rsid w:val="004D48BD"/>
    <w:rsid w:val="004D4975"/>
    <w:rsid w:val="004D62B1"/>
    <w:rsid w:val="004D65A0"/>
    <w:rsid w:val="004E114D"/>
    <w:rsid w:val="004E393C"/>
    <w:rsid w:val="004E60CA"/>
    <w:rsid w:val="004F05FA"/>
    <w:rsid w:val="004F1E4E"/>
    <w:rsid w:val="004F2D65"/>
    <w:rsid w:val="004F4678"/>
    <w:rsid w:val="004F561C"/>
    <w:rsid w:val="004F76C4"/>
    <w:rsid w:val="0050052E"/>
    <w:rsid w:val="00501121"/>
    <w:rsid w:val="00503737"/>
    <w:rsid w:val="0050516E"/>
    <w:rsid w:val="00505F7B"/>
    <w:rsid w:val="00506216"/>
    <w:rsid w:val="005101F2"/>
    <w:rsid w:val="005121AB"/>
    <w:rsid w:val="00516090"/>
    <w:rsid w:val="0051721D"/>
    <w:rsid w:val="00517699"/>
    <w:rsid w:val="00517F42"/>
    <w:rsid w:val="00521CE4"/>
    <w:rsid w:val="00522098"/>
    <w:rsid w:val="00523D91"/>
    <w:rsid w:val="00526D2B"/>
    <w:rsid w:val="005306BE"/>
    <w:rsid w:val="005335D9"/>
    <w:rsid w:val="00534E62"/>
    <w:rsid w:val="005375B7"/>
    <w:rsid w:val="00541DF4"/>
    <w:rsid w:val="00541E3E"/>
    <w:rsid w:val="005425F5"/>
    <w:rsid w:val="005449AA"/>
    <w:rsid w:val="00545485"/>
    <w:rsid w:val="00546693"/>
    <w:rsid w:val="00552144"/>
    <w:rsid w:val="00552721"/>
    <w:rsid w:val="00552DC4"/>
    <w:rsid w:val="0055451F"/>
    <w:rsid w:val="005545E6"/>
    <w:rsid w:val="00554A99"/>
    <w:rsid w:val="00554C75"/>
    <w:rsid w:val="00557CAC"/>
    <w:rsid w:val="00561DFC"/>
    <w:rsid w:val="00562B45"/>
    <w:rsid w:val="0056468A"/>
    <w:rsid w:val="005658FB"/>
    <w:rsid w:val="00565FED"/>
    <w:rsid w:val="00566402"/>
    <w:rsid w:val="005702E7"/>
    <w:rsid w:val="005726F3"/>
    <w:rsid w:val="00575CBE"/>
    <w:rsid w:val="00577C0B"/>
    <w:rsid w:val="005814D6"/>
    <w:rsid w:val="00581F23"/>
    <w:rsid w:val="00582AA6"/>
    <w:rsid w:val="00582C55"/>
    <w:rsid w:val="00584C80"/>
    <w:rsid w:val="005850E8"/>
    <w:rsid w:val="00585556"/>
    <w:rsid w:val="00585B17"/>
    <w:rsid w:val="00590CDB"/>
    <w:rsid w:val="005926B2"/>
    <w:rsid w:val="00597B6F"/>
    <w:rsid w:val="005A0A8C"/>
    <w:rsid w:val="005A0FE9"/>
    <w:rsid w:val="005A3179"/>
    <w:rsid w:val="005A35B9"/>
    <w:rsid w:val="005B0811"/>
    <w:rsid w:val="005B11C4"/>
    <w:rsid w:val="005B1464"/>
    <w:rsid w:val="005B38D2"/>
    <w:rsid w:val="005B436E"/>
    <w:rsid w:val="005B7F7A"/>
    <w:rsid w:val="005C0D5D"/>
    <w:rsid w:val="005C1006"/>
    <w:rsid w:val="005C3F52"/>
    <w:rsid w:val="005C42FB"/>
    <w:rsid w:val="005C431D"/>
    <w:rsid w:val="005D04BD"/>
    <w:rsid w:val="005D2AA6"/>
    <w:rsid w:val="005D43B1"/>
    <w:rsid w:val="005D75AE"/>
    <w:rsid w:val="005E0907"/>
    <w:rsid w:val="005E1E3A"/>
    <w:rsid w:val="005E3EA2"/>
    <w:rsid w:val="005E5403"/>
    <w:rsid w:val="005E5F43"/>
    <w:rsid w:val="005E67F5"/>
    <w:rsid w:val="005E7DED"/>
    <w:rsid w:val="005F378D"/>
    <w:rsid w:val="005F3E52"/>
    <w:rsid w:val="005F55B0"/>
    <w:rsid w:val="005F5964"/>
    <w:rsid w:val="005F5DCB"/>
    <w:rsid w:val="005F6156"/>
    <w:rsid w:val="005F652C"/>
    <w:rsid w:val="006008CF"/>
    <w:rsid w:val="00603409"/>
    <w:rsid w:val="00604D00"/>
    <w:rsid w:val="006063B7"/>
    <w:rsid w:val="00606FD1"/>
    <w:rsid w:val="00607A3F"/>
    <w:rsid w:val="0061003D"/>
    <w:rsid w:val="006104A2"/>
    <w:rsid w:val="00610D10"/>
    <w:rsid w:val="00610FF7"/>
    <w:rsid w:val="00615C72"/>
    <w:rsid w:val="00616269"/>
    <w:rsid w:val="006166BD"/>
    <w:rsid w:val="00616CC7"/>
    <w:rsid w:val="0062070D"/>
    <w:rsid w:val="00620C6B"/>
    <w:rsid w:val="00621B1C"/>
    <w:rsid w:val="0062697D"/>
    <w:rsid w:val="00627AD3"/>
    <w:rsid w:val="00627D7F"/>
    <w:rsid w:val="00630FD2"/>
    <w:rsid w:val="00632874"/>
    <w:rsid w:val="00634609"/>
    <w:rsid w:val="00635AEF"/>
    <w:rsid w:val="0064480C"/>
    <w:rsid w:val="00645BBB"/>
    <w:rsid w:val="0064682C"/>
    <w:rsid w:val="0065155B"/>
    <w:rsid w:val="006529CB"/>
    <w:rsid w:val="0065321A"/>
    <w:rsid w:val="00653B4D"/>
    <w:rsid w:val="00656962"/>
    <w:rsid w:val="00660777"/>
    <w:rsid w:val="00660797"/>
    <w:rsid w:val="006611A1"/>
    <w:rsid w:val="0066248A"/>
    <w:rsid w:val="00662506"/>
    <w:rsid w:val="0066312B"/>
    <w:rsid w:val="006633AE"/>
    <w:rsid w:val="00663BD6"/>
    <w:rsid w:val="00672EC4"/>
    <w:rsid w:val="00673AC4"/>
    <w:rsid w:val="006751B4"/>
    <w:rsid w:val="00680C23"/>
    <w:rsid w:val="0068232D"/>
    <w:rsid w:val="0068432C"/>
    <w:rsid w:val="0068441C"/>
    <w:rsid w:val="0068525D"/>
    <w:rsid w:val="00685E9D"/>
    <w:rsid w:val="006867F2"/>
    <w:rsid w:val="0068707F"/>
    <w:rsid w:val="00687A2E"/>
    <w:rsid w:val="00687FD5"/>
    <w:rsid w:val="00694599"/>
    <w:rsid w:val="00696899"/>
    <w:rsid w:val="00696DC9"/>
    <w:rsid w:val="00697ACA"/>
    <w:rsid w:val="006A0276"/>
    <w:rsid w:val="006A0C96"/>
    <w:rsid w:val="006A1C7E"/>
    <w:rsid w:val="006A1D65"/>
    <w:rsid w:val="006A2831"/>
    <w:rsid w:val="006A2A41"/>
    <w:rsid w:val="006A45B8"/>
    <w:rsid w:val="006A53D6"/>
    <w:rsid w:val="006A5B08"/>
    <w:rsid w:val="006A72A2"/>
    <w:rsid w:val="006A77E5"/>
    <w:rsid w:val="006B079C"/>
    <w:rsid w:val="006B09C1"/>
    <w:rsid w:val="006B1C46"/>
    <w:rsid w:val="006B25E9"/>
    <w:rsid w:val="006B2C61"/>
    <w:rsid w:val="006B3939"/>
    <w:rsid w:val="006B3BCA"/>
    <w:rsid w:val="006B45D1"/>
    <w:rsid w:val="006C061E"/>
    <w:rsid w:val="006C0BC7"/>
    <w:rsid w:val="006C22C6"/>
    <w:rsid w:val="006C23CD"/>
    <w:rsid w:val="006C2D24"/>
    <w:rsid w:val="006C4183"/>
    <w:rsid w:val="006C43DC"/>
    <w:rsid w:val="006C4A48"/>
    <w:rsid w:val="006C5B48"/>
    <w:rsid w:val="006D0A4B"/>
    <w:rsid w:val="006D25C5"/>
    <w:rsid w:val="006D281C"/>
    <w:rsid w:val="006D3159"/>
    <w:rsid w:val="006E0D5B"/>
    <w:rsid w:val="006E56F5"/>
    <w:rsid w:val="006F0D2C"/>
    <w:rsid w:val="006F1680"/>
    <w:rsid w:val="006F34CE"/>
    <w:rsid w:val="006F394B"/>
    <w:rsid w:val="00702ED2"/>
    <w:rsid w:val="00704D71"/>
    <w:rsid w:val="00706FFD"/>
    <w:rsid w:val="00710231"/>
    <w:rsid w:val="00712E4F"/>
    <w:rsid w:val="007175CE"/>
    <w:rsid w:val="00720E2E"/>
    <w:rsid w:val="007215E3"/>
    <w:rsid w:val="00722687"/>
    <w:rsid w:val="007247B0"/>
    <w:rsid w:val="00724A64"/>
    <w:rsid w:val="007258C8"/>
    <w:rsid w:val="007265F2"/>
    <w:rsid w:val="00726D89"/>
    <w:rsid w:val="00730AE5"/>
    <w:rsid w:val="00735674"/>
    <w:rsid w:val="007375DC"/>
    <w:rsid w:val="00737F69"/>
    <w:rsid w:val="007407E5"/>
    <w:rsid w:val="0074126D"/>
    <w:rsid w:val="007419F5"/>
    <w:rsid w:val="00742108"/>
    <w:rsid w:val="007427FF"/>
    <w:rsid w:val="00745A91"/>
    <w:rsid w:val="0074604A"/>
    <w:rsid w:val="00746695"/>
    <w:rsid w:val="0075039E"/>
    <w:rsid w:val="00750DC3"/>
    <w:rsid w:val="00756148"/>
    <w:rsid w:val="007562BC"/>
    <w:rsid w:val="007566D0"/>
    <w:rsid w:val="0076147F"/>
    <w:rsid w:val="0076224A"/>
    <w:rsid w:val="0076712F"/>
    <w:rsid w:val="007703F7"/>
    <w:rsid w:val="00781205"/>
    <w:rsid w:val="0078662B"/>
    <w:rsid w:val="00787181"/>
    <w:rsid w:val="00790D45"/>
    <w:rsid w:val="007924ED"/>
    <w:rsid w:val="00792962"/>
    <w:rsid w:val="00793074"/>
    <w:rsid w:val="007937F7"/>
    <w:rsid w:val="00796CDB"/>
    <w:rsid w:val="007972AF"/>
    <w:rsid w:val="0079741E"/>
    <w:rsid w:val="007974C9"/>
    <w:rsid w:val="007A0066"/>
    <w:rsid w:val="007A0F96"/>
    <w:rsid w:val="007A1EFB"/>
    <w:rsid w:val="007B366C"/>
    <w:rsid w:val="007B3764"/>
    <w:rsid w:val="007B5F50"/>
    <w:rsid w:val="007B768E"/>
    <w:rsid w:val="007C2577"/>
    <w:rsid w:val="007C28E6"/>
    <w:rsid w:val="007C4994"/>
    <w:rsid w:val="007C4FC4"/>
    <w:rsid w:val="007C7790"/>
    <w:rsid w:val="007C7ADD"/>
    <w:rsid w:val="007C7CB7"/>
    <w:rsid w:val="007D0B0A"/>
    <w:rsid w:val="007D115D"/>
    <w:rsid w:val="007D18CF"/>
    <w:rsid w:val="007D219F"/>
    <w:rsid w:val="007D265B"/>
    <w:rsid w:val="007D2AA4"/>
    <w:rsid w:val="007D2F05"/>
    <w:rsid w:val="007D5BE6"/>
    <w:rsid w:val="007D6048"/>
    <w:rsid w:val="007D6937"/>
    <w:rsid w:val="007D751E"/>
    <w:rsid w:val="007E0D1A"/>
    <w:rsid w:val="007E4EAF"/>
    <w:rsid w:val="007E641A"/>
    <w:rsid w:val="007E6699"/>
    <w:rsid w:val="007F18C9"/>
    <w:rsid w:val="007F2214"/>
    <w:rsid w:val="007F45F2"/>
    <w:rsid w:val="007F7309"/>
    <w:rsid w:val="0080438E"/>
    <w:rsid w:val="00807F29"/>
    <w:rsid w:val="0081198D"/>
    <w:rsid w:val="00811E08"/>
    <w:rsid w:val="0081424D"/>
    <w:rsid w:val="00816409"/>
    <w:rsid w:val="00816414"/>
    <w:rsid w:val="00817404"/>
    <w:rsid w:val="008202B5"/>
    <w:rsid w:val="008202DA"/>
    <w:rsid w:val="0082058A"/>
    <w:rsid w:val="00820E25"/>
    <w:rsid w:val="008210DC"/>
    <w:rsid w:val="008233D3"/>
    <w:rsid w:val="00824B6F"/>
    <w:rsid w:val="00825757"/>
    <w:rsid w:val="008261F4"/>
    <w:rsid w:val="008263C9"/>
    <w:rsid w:val="008274A9"/>
    <w:rsid w:val="00833302"/>
    <w:rsid w:val="008350DF"/>
    <w:rsid w:val="008370BA"/>
    <w:rsid w:val="008379B0"/>
    <w:rsid w:val="008402CF"/>
    <w:rsid w:val="008424FC"/>
    <w:rsid w:val="008433F8"/>
    <w:rsid w:val="00843BAB"/>
    <w:rsid w:val="008448A4"/>
    <w:rsid w:val="00846339"/>
    <w:rsid w:val="0084645C"/>
    <w:rsid w:val="00846977"/>
    <w:rsid w:val="008525C9"/>
    <w:rsid w:val="0085407F"/>
    <w:rsid w:val="00854586"/>
    <w:rsid w:val="0085511F"/>
    <w:rsid w:val="00857D37"/>
    <w:rsid w:val="00860AD1"/>
    <w:rsid w:val="008619CC"/>
    <w:rsid w:val="00861C7C"/>
    <w:rsid w:val="00861E88"/>
    <w:rsid w:val="008628E7"/>
    <w:rsid w:val="00863A0D"/>
    <w:rsid w:val="008654E3"/>
    <w:rsid w:val="00865751"/>
    <w:rsid w:val="0086769D"/>
    <w:rsid w:val="00872743"/>
    <w:rsid w:val="00872D13"/>
    <w:rsid w:val="00873362"/>
    <w:rsid w:val="008750BD"/>
    <w:rsid w:val="008826D5"/>
    <w:rsid w:val="008861CB"/>
    <w:rsid w:val="00890D81"/>
    <w:rsid w:val="00891401"/>
    <w:rsid w:val="0089248B"/>
    <w:rsid w:val="0089364C"/>
    <w:rsid w:val="00893AB4"/>
    <w:rsid w:val="00895413"/>
    <w:rsid w:val="008A2BE8"/>
    <w:rsid w:val="008A4F1D"/>
    <w:rsid w:val="008A5041"/>
    <w:rsid w:val="008A5F3F"/>
    <w:rsid w:val="008A6790"/>
    <w:rsid w:val="008A778E"/>
    <w:rsid w:val="008B0BD0"/>
    <w:rsid w:val="008B1443"/>
    <w:rsid w:val="008B1AC2"/>
    <w:rsid w:val="008B39A3"/>
    <w:rsid w:val="008B44FF"/>
    <w:rsid w:val="008B475D"/>
    <w:rsid w:val="008B6704"/>
    <w:rsid w:val="008C0010"/>
    <w:rsid w:val="008C15D5"/>
    <w:rsid w:val="008C270D"/>
    <w:rsid w:val="008C547C"/>
    <w:rsid w:val="008C7C49"/>
    <w:rsid w:val="008D11ED"/>
    <w:rsid w:val="008D223A"/>
    <w:rsid w:val="008D427A"/>
    <w:rsid w:val="008E31CE"/>
    <w:rsid w:val="008E44B6"/>
    <w:rsid w:val="008E5D97"/>
    <w:rsid w:val="008F19E8"/>
    <w:rsid w:val="008F1C95"/>
    <w:rsid w:val="008F5EAE"/>
    <w:rsid w:val="008F703E"/>
    <w:rsid w:val="0090077A"/>
    <w:rsid w:val="0090276F"/>
    <w:rsid w:val="00904E64"/>
    <w:rsid w:val="0090613B"/>
    <w:rsid w:val="00906F7E"/>
    <w:rsid w:val="0091144B"/>
    <w:rsid w:val="00912C19"/>
    <w:rsid w:val="00913B7D"/>
    <w:rsid w:val="009243B3"/>
    <w:rsid w:val="00924BD3"/>
    <w:rsid w:val="00925E66"/>
    <w:rsid w:val="0092604D"/>
    <w:rsid w:val="00926165"/>
    <w:rsid w:val="00927D62"/>
    <w:rsid w:val="009315E9"/>
    <w:rsid w:val="00932FAC"/>
    <w:rsid w:val="00933117"/>
    <w:rsid w:val="00933958"/>
    <w:rsid w:val="0093505F"/>
    <w:rsid w:val="00935416"/>
    <w:rsid w:val="00944C2C"/>
    <w:rsid w:val="00946186"/>
    <w:rsid w:val="00951222"/>
    <w:rsid w:val="009528D3"/>
    <w:rsid w:val="009547CC"/>
    <w:rsid w:val="00957D76"/>
    <w:rsid w:val="0096032C"/>
    <w:rsid w:val="00961578"/>
    <w:rsid w:val="0096300D"/>
    <w:rsid w:val="00965EF5"/>
    <w:rsid w:val="00965F6A"/>
    <w:rsid w:val="00967ACC"/>
    <w:rsid w:val="00970325"/>
    <w:rsid w:val="0097143E"/>
    <w:rsid w:val="009725B3"/>
    <w:rsid w:val="0097345D"/>
    <w:rsid w:val="009738EE"/>
    <w:rsid w:val="009761A3"/>
    <w:rsid w:val="0097760F"/>
    <w:rsid w:val="009777B0"/>
    <w:rsid w:val="00980C68"/>
    <w:rsid w:val="009836A0"/>
    <w:rsid w:val="0098474D"/>
    <w:rsid w:val="00984A5D"/>
    <w:rsid w:val="009859C2"/>
    <w:rsid w:val="00985A93"/>
    <w:rsid w:val="009862A0"/>
    <w:rsid w:val="00990EDE"/>
    <w:rsid w:val="00993FE8"/>
    <w:rsid w:val="00994A03"/>
    <w:rsid w:val="00994B91"/>
    <w:rsid w:val="009A02C8"/>
    <w:rsid w:val="009A0A6D"/>
    <w:rsid w:val="009A1834"/>
    <w:rsid w:val="009A2025"/>
    <w:rsid w:val="009A45CD"/>
    <w:rsid w:val="009A4C07"/>
    <w:rsid w:val="009B3E40"/>
    <w:rsid w:val="009B4215"/>
    <w:rsid w:val="009B605C"/>
    <w:rsid w:val="009B7090"/>
    <w:rsid w:val="009B71A9"/>
    <w:rsid w:val="009C2B61"/>
    <w:rsid w:val="009D3971"/>
    <w:rsid w:val="009D3DB4"/>
    <w:rsid w:val="009D4434"/>
    <w:rsid w:val="009D7EC8"/>
    <w:rsid w:val="009E1E95"/>
    <w:rsid w:val="009E2335"/>
    <w:rsid w:val="009E5AB7"/>
    <w:rsid w:val="009E7C2F"/>
    <w:rsid w:val="009F4ADB"/>
    <w:rsid w:val="009F4D36"/>
    <w:rsid w:val="00A00A58"/>
    <w:rsid w:val="00A0194C"/>
    <w:rsid w:val="00A019A4"/>
    <w:rsid w:val="00A03E5E"/>
    <w:rsid w:val="00A06DA9"/>
    <w:rsid w:val="00A105CB"/>
    <w:rsid w:val="00A12896"/>
    <w:rsid w:val="00A14386"/>
    <w:rsid w:val="00A15639"/>
    <w:rsid w:val="00A16866"/>
    <w:rsid w:val="00A16D35"/>
    <w:rsid w:val="00A2022E"/>
    <w:rsid w:val="00A22414"/>
    <w:rsid w:val="00A226EF"/>
    <w:rsid w:val="00A23D94"/>
    <w:rsid w:val="00A25E75"/>
    <w:rsid w:val="00A273B8"/>
    <w:rsid w:val="00A27912"/>
    <w:rsid w:val="00A33869"/>
    <w:rsid w:val="00A33ECE"/>
    <w:rsid w:val="00A3408C"/>
    <w:rsid w:val="00A348BD"/>
    <w:rsid w:val="00A34D92"/>
    <w:rsid w:val="00A35051"/>
    <w:rsid w:val="00A35AF5"/>
    <w:rsid w:val="00A369A8"/>
    <w:rsid w:val="00A36D94"/>
    <w:rsid w:val="00A36E56"/>
    <w:rsid w:val="00A4113C"/>
    <w:rsid w:val="00A4131F"/>
    <w:rsid w:val="00A43003"/>
    <w:rsid w:val="00A44947"/>
    <w:rsid w:val="00A46414"/>
    <w:rsid w:val="00A470AD"/>
    <w:rsid w:val="00A52063"/>
    <w:rsid w:val="00A52F3A"/>
    <w:rsid w:val="00A547F3"/>
    <w:rsid w:val="00A65B50"/>
    <w:rsid w:val="00A67E35"/>
    <w:rsid w:val="00A67EEA"/>
    <w:rsid w:val="00A707CD"/>
    <w:rsid w:val="00A70E4C"/>
    <w:rsid w:val="00A71A1A"/>
    <w:rsid w:val="00A74EAB"/>
    <w:rsid w:val="00A7646C"/>
    <w:rsid w:val="00A7C77F"/>
    <w:rsid w:val="00A82841"/>
    <w:rsid w:val="00A90352"/>
    <w:rsid w:val="00A903C1"/>
    <w:rsid w:val="00A92202"/>
    <w:rsid w:val="00A935F2"/>
    <w:rsid w:val="00A94508"/>
    <w:rsid w:val="00A95433"/>
    <w:rsid w:val="00A9606A"/>
    <w:rsid w:val="00A96E00"/>
    <w:rsid w:val="00A973CC"/>
    <w:rsid w:val="00A97BBE"/>
    <w:rsid w:val="00AA2C05"/>
    <w:rsid w:val="00AA369E"/>
    <w:rsid w:val="00AA3EE7"/>
    <w:rsid w:val="00AA681F"/>
    <w:rsid w:val="00AA69F7"/>
    <w:rsid w:val="00AA6EDA"/>
    <w:rsid w:val="00AA707F"/>
    <w:rsid w:val="00AA7CEE"/>
    <w:rsid w:val="00AB2953"/>
    <w:rsid w:val="00AB3AD3"/>
    <w:rsid w:val="00AB430E"/>
    <w:rsid w:val="00AB5157"/>
    <w:rsid w:val="00AB703A"/>
    <w:rsid w:val="00AC11BE"/>
    <w:rsid w:val="00AC2120"/>
    <w:rsid w:val="00AC2BE9"/>
    <w:rsid w:val="00AC3563"/>
    <w:rsid w:val="00AC47A6"/>
    <w:rsid w:val="00AC58FC"/>
    <w:rsid w:val="00AC6B5B"/>
    <w:rsid w:val="00AC6EB4"/>
    <w:rsid w:val="00AD0F94"/>
    <w:rsid w:val="00AD1256"/>
    <w:rsid w:val="00AD2053"/>
    <w:rsid w:val="00AD234D"/>
    <w:rsid w:val="00AD43CB"/>
    <w:rsid w:val="00AD460F"/>
    <w:rsid w:val="00AD56EF"/>
    <w:rsid w:val="00AD68B7"/>
    <w:rsid w:val="00AE0B54"/>
    <w:rsid w:val="00AE102B"/>
    <w:rsid w:val="00AE1310"/>
    <w:rsid w:val="00AE39B5"/>
    <w:rsid w:val="00AE3F01"/>
    <w:rsid w:val="00AE4E1B"/>
    <w:rsid w:val="00AE596F"/>
    <w:rsid w:val="00AE5EB5"/>
    <w:rsid w:val="00AE758C"/>
    <w:rsid w:val="00AE7D4D"/>
    <w:rsid w:val="00AEF694"/>
    <w:rsid w:val="00AF030A"/>
    <w:rsid w:val="00AF1161"/>
    <w:rsid w:val="00AF1777"/>
    <w:rsid w:val="00AF2BFC"/>
    <w:rsid w:val="00AF30EC"/>
    <w:rsid w:val="00AF3BBA"/>
    <w:rsid w:val="00AF43B8"/>
    <w:rsid w:val="00AF56A4"/>
    <w:rsid w:val="00AF702A"/>
    <w:rsid w:val="00AF7DB6"/>
    <w:rsid w:val="00B010FB"/>
    <w:rsid w:val="00B025DB"/>
    <w:rsid w:val="00B0367B"/>
    <w:rsid w:val="00B03933"/>
    <w:rsid w:val="00B05CD0"/>
    <w:rsid w:val="00B20051"/>
    <w:rsid w:val="00B22382"/>
    <w:rsid w:val="00B23C3D"/>
    <w:rsid w:val="00B264A6"/>
    <w:rsid w:val="00B266B4"/>
    <w:rsid w:val="00B30E18"/>
    <w:rsid w:val="00B33648"/>
    <w:rsid w:val="00B345FF"/>
    <w:rsid w:val="00B353BB"/>
    <w:rsid w:val="00B354AD"/>
    <w:rsid w:val="00B365EE"/>
    <w:rsid w:val="00B36B4E"/>
    <w:rsid w:val="00B401DE"/>
    <w:rsid w:val="00B43B96"/>
    <w:rsid w:val="00B4498D"/>
    <w:rsid w:val="00B46A6A"/>
    <w:rsid w:val="00B470C1"/>
    <w:rsid w:val="00B50AF5"/>
    <w:rsid w:val="00B511A4"/>
    <w:rsid w:val="00B51DC0"/>
    <w:rsid w:val="00B55571"/>
    <w:rsid w:val="00B63816"/>
    <w:rsid w:val="00B639D0"/>
    <w:rsid w:val="00B63F25"/>
    <w:rsid w:val="00B648D6"/>
    <w:rsid w:val="00B65AF8"/>
    <w:rsid w:val="00B663C8"/>
    <w:rsid w:val="00B67F76"/>
    <w:rsid w:val="00B7293D"/>
    <w:rsid w:val="00B73B29"/>
    <w:rsid w:val="00B7569E"/>
    <w:rsid w:val="00B7612E"/>
    <w:rsid w:val="00B7661C"/>
    <w:rsid w:val="00B773D7"/>
    <w:rsid w:val="00B77EC7"/>
    <w:rsid w:val="00B84210"/>
    <w:rsid w:val="00B8450E"/>
    <w:rsid w:val="00B85D62"/>
    <w:rsid w:val="00B91D3B"/>
    <w:rsid w:val="00B950DE"/>
    <w:rsid w:val="00B96FD2"/>
    <w:rsid w:val="00B97190"/>
    <w:rsid w:val="00B973B2"/>
    <w:rsid w:val="00BA0A50"/>
    <w:rsid w:val="00BA1CDB"/>
    <w:rsid w:val="00BA49CA"/>
    <w:rsid w:val="00BA4C96"/>
    <w:rsid w:val="00BA6F51"/>
    <w:rsid w:val="00BA75C0"/>
    <w:rsid w:val="00BB42D6"/>
    <w:rsid w:val="00BB5929"/>
    <w:rsid w:val="00BB730D"/>
    <w:rsid w:val="00BB7645"/>
    <w:rsid w:val="00BC2604"/>
    <w:rsid w:val="00BC3647"/>
    <w:rsid w:val="00BC3ECE"/>
    <w:rsid w:val="00BC4AD1"/>
    <w:rsid w:val="00BC6848"/>
    <w:rsid w:val="00BC7399"/>
    <w:rsid w:val="00BD0689"/>
    <w:rsid w:val="00BE0A48"/>
    <w:rsid w:val="00BE5D14"/>
    <w:rsid w:val="00BE66EA"/>
    <w:rsid w:val="00BE6B00"/>
    <w:rsid w:val="00BF0B4B"/>
    <w:rsid w:val="00BF3C42"/>
    <w:rsid w:val="00BF5C46"/>
    <w:rsid w:val="00BF63AA"/>
    <w:rsid w:val="00BF68DC"/>
    <w:rsid w:val="00C031A5"/>
    <w:rsid w:val="00C0721B"/>
    <w:rsid w:val="00C0791B"/>
    <w:rsid w:val="00C07CA5"/>
    <w:rsid w:val="00C13915"/>
    <w:rsid w:val="00C13B2B"/>
    <w:rsid w:val="00C1409D"/>
    <w:rsid w:val="00C149F0"/>
    <w:rsid w:val="00C15A8C"/>
    <w:rsid w:val="00C1686F"/>
    <w:rsid w:val="00C20CB3"/>
    <w:rsid w:val="00C21006"/>
    <w:rsid w:val="00C23393"/>
    <w:rsid w:val="00C25E29"/>
    <w:rsid w:val="00C30DAF"/>
    <w:rsid w:val="00C31987"/>
    <w:rsid w:val="00C32613"/>
    <w:rsid w:val="00C33FB7"/>
    <w:rsid w:val="00C350CD"/>
    <w:rsid w:val="00C46451"/>
    <w:rsid w:val="00C4666D"/>
    <w:rsid w:val="00C46920"/>
    <w:rsid w:val="00C51281"/>
    <w:rsid w:val="00C516BF"/>
    <w:rsid w:val="00C5190A"/>
    <w:rsid w:val="00C5249F"/>
    <w:rsid w:val="00C551F8"/>
    <w:rsid w:val="00C560D8"/>
    <w:rsid w:val="00C56B2A"/>
    <w:rsid w:val="00C57E79"/>
    <w:rsid w:val="00C62F08"/>
    <w:rsid w:val="00C63C89"/>
    <w:rsid w:val="00C63E2C"/>
    <w:rsid w:val="00C64AA1"/>
    <w:rsid w:val="00C707C1"/>
    <w:rsid w:val="00C74696"/>
    <w:rsid w:val="00C748AF"/>
    <w:rsid w:val="00C75C69"/>
    <w:rsid w:val="00C75D54"/>
    <w:rsid w:val="00C76010"/>
    <w:rsid w:val="00C81DC8"/>
    <w:rsid w:val="00C85A62"/>
    <w:rsid w:val="00C900BB"/>
    <w:rsid w:val="00C9084C"/>
    <w:rsid w:val="00C92EE1"/>
    <w:rsid w:val="00C96533"/>
    <w:rsid w:val="00C9781E"/>
    <w:rsid w:val="00C97851"/>
    <w:rsid w:val="00CA0095"/>
    <w:rsid w:val="00CA0702"/>
    <w:rsid w:val="00CA0AA9"/>
    <w:rsid w:val="00CA0EC2"/>
    <w:rsid w:val="00CA3C7E"/>
    <w:rsid w:val="00CA556E"/>
    <w:rsid w:val="00CA5845"/>
    <w:rsid w:val="00CA6FF4"/>
    <w:rsid w:val="00CB1BD4"/>
    <w:rsid w:val="00CB37F0"/>
    <w:rsid w:val="00CB4D84"/>
    <w:rsid w:val="00CB6561"/>
    <w:rsid w:val="00CB6D3D"/>
    <w:rsid w:val="00CC1E09"/>
    <w:rsid w:val="00CC1FE8"/>
    <w:rsid w:val="00CC3412"/>
    <w:rsid w:val="00CC3B98"/>
    <w:rsid w:val="00CC3FA7"/>
    <w:rsid w:val="00CC413B"/>
    <w:rsid w:val="00CC79E3"/>
    <w:rsid w:val="00CC7E8A"/>
    <w:rsid w:val="00CD4784"/>
    <w:rsid w:val="00CD6491"/>
    <w:rsid w:val="00CD68C2"/>
    <w:rsid w:val="00CE0608"/>
    <w:rsid w:val="00CF15B5"/>
    <w:rsid w:val="00CF4243"/>
    <w:rsid w:val="00CF5E1C"/>
    <w:rsid w:val="00CF5F4D"/>
    <w:rsid w:val="00CF6F34"/>
    <w:rsid w:val="00D0340A"/>
    <w:rsid w:val="00D04C63"/>
    <w:rsid w:val="00D05E17"/>
    <w:rsid w:val="00D076B8"/>
    <w:rsid w:val="00D100B8"/>
    <w:rsid w:val="00D100ED"/>
    <w:rsid w:val="00D10B1F"/>
    <w:rsid w:val="00D14C30"/>
    <w:rsid w:val="00D16431"/>
    <w:rsid w:val="00D16E03"/>
    <w:rsid w:val="00D23D2B"/>
    <w:rsid w:val="00D2516A"/>
    <w:rsid w:val="00D32F91"/>
    <w:rsid w:val="00D34A37"/>
    <w:rsid w:val="00D36C53"/>
    <w:rsid w:val="00D36E46"/>
    <w:rsid w:val="00D37E96"/>
    <w:rsid w:val="00D40396"/>
    <w:rsid w:val="00D410C4"/>
    <w:rsid w:val="00D41C27"/>
    <w:rsid w:val="00D428F3"/>
    <w:rsid w:val="00D46419"/>
    <w:rsid w:val="00D4673B"/>
    <w:rsid w:val="00D46C0C"/>
    <w:rsid w:val="00D4798B"/>
    <w:rsid w:val="00D5076A"/>
    <w:rsid w:val="00D51CB4"/>
    <w:rsid w:val="00D555C6"/>
    <w:rsid w:val="00D558EB"/>
    <w:rsid w:val="00D575C5"/>
    <w:rsid w:val="00D61D58"/>
    <w:rsid w:val="00D63293"/>
    <w:rsid w:val="00D67FED"/>
    <w:rsid w:val="00D76C17"/>
    <w:rsid w:val="00D77CC8"/>
    <w:rsid w:val="00D8039A"/>
    <w:rsid w:val="00D80B6D"/>
    <w:rsid w:val="00D816EB"/>
    <w:rsid w:val="00D835A3"/>
    <w:rsid w:val="00D92EDD"/>
    <w:rsid w:val="00D953F8"/>
    <w:rsid w:val="00D972A5"/>
    <w:rsid w:val="00DA0B99"/>
    <w:rsid w:val="00DA169E"/>
    <w:rsid w:val="00DA17F7"/>
    <w:rsid w:val="00DA55FB"/>
    <w:rsid w:val="00DA69EB"/>
    <w:rsid w:val="00DA6F95"/>
    <w:rsid w:val="00DB3EEB"/>
    <w:rsid w:val="00DB479B"/>
    <w:rsid w:val="00DB4ADE"/>
    <w:rsid w:val="00DB53B6"/>
    <w:rsid w:val="00DC0B5B"/>
    <w:rsid w:val="00DC15B2"/>
    <w:rsid w:val="00DC4541"/>
    <w:rsid w:val="00DC69B8"/>
    <w:rsid w:val="00DD3143"/>
    <w:rsid w:val="00DD4396"/>
    <w:rsid w:val="00DD4EAD"/>
    <w:rsid w:val="00DD6EB9"/>
    <w:rsid w:val="00DD7778"/>
    <w:rsid w:val="00DD7787"/>
    <w:rsid w:val="00DD78F0"/>
    <w:rsid w:val="00DE0E9C"/>
    <w:rsid w:val="00DE1154"/>
    <w:rsid w:val="00DE3205"/>
    <w:rsid w:val="00DE4128"/>
    <w:rsid w:val="00DE5435"/>
    <w:rsid w:val="00DE7D74"/>
    <w:rsid w:val="00DF1C6E"/>
    <w:rsid w:val="00DF4CD0"/>
    <w:rsid w:val="00DF561A"/>
    <w:rsid w:val="00DF5A03"/>
    <w:rsid w:val="00DF7876"/>
    <w:rsid w:val="00E0016F"/>
    <w:rsid w:val="00E05C07"/>
    <w:rsid w:val="00E07498"/>
    <w:rsid w:val="00E0764D"/>
    <w:rsid w:val="00E21D44"/>
    <w:rsid w:val="00E2379F"/>
    <w:rsid w:val="00E23D48"/>
    <w:rsid w:val="00E23F0D"/>
    <w:rsid w:val="00E249DA"/>
    <w:rsid w:val="00E271DE"/>
    <w:rsid w:val="00E27B60"/>
    <w:rsid w:val="00E302E2"/>
    <w:rsid w:val="00E320EA"/>
    <w:rsid w:val="00E32175"/>
    <w:rsid w:val="00E326B4"/>
    <w:rsid w:val="00E339CB"/>
    <w:rsid w:val="00E33F38"/>
    <w:rsid w:val="00E342F7"/>
    <w:rsid w:val="00E345F2"/>
    <w:rsid w:val="00E3546E"/>
    <w:rsid w:val="00E3638A"/>
    <w:rsid w:val="00E368F2"/>
    <w:rsid w:val="00E4031E"/>
    <w:rsid w:val="00E512C2"/>
    <w:rsid w:val="00E526CA"/>
    <w:rsid w:val="00E5536D"/>
    <w:rsid w:val="00E5574D"/>
    <w:rsid w:val="00E5723B"/>
    <w:rsid w:val="00E602A6"/>
    <w:rsid w:val="00E61FEA"/>
    <w:rsid w:val="00E624B0"/>
    <w:rsid w:val="00E651FE"/>
    <w:rsid w:val="00E66609"/>
    <w:rsid w:val="00E669C1"/>
    <w:rsid w:val="00E70468"/>
    <w:rsid w:val="00E714A9"/>
    <w:rsid w:val="00E72A39"/>
    <w:rsid w:val="00E7428B"/>
    <w:rsid w:val="00E8312A"/>
    <w:rsid w:val="00E839B0"/>
    <w:rsid w:val="00E83C4E"/>
    <w:rsid w:val="00E84E2C"/>
    <w:rsid w:val="00E853BF"/>
    <w:rsid w:val="00E8629B"/>
    <w:rsid w:val="00E866DD"/>
    <w:rsid w:val="00E90A47"/>
    <w:rsid w:val="00E922C2"/>
    <w:rsid w:val="00E949F3"/>
    <w:rsid w:val="00E95109"/>
    <w:rsid w:val="00E95562"/>
    <w:rsid w:val="00EA057D"/>
    <w:rsid w:val="00EA47EB"/>
    <w:rsid w:val="00EA69BC"/>
    <w:rsid w:val="00EA7E8E"/>
    <w:rsid w:val="00EB0CDA"/>
    <w:rsid w:val="00EB14C2"/>
    <w:rsid w:val="00EB351D"/>
    <w:rsid w:val="00EB42EB"/>
    <w:rsid w:val="00EB5A1A"/>
    <w:rsid w:val="00EB7E75"/>
    <w:rsid w:val="00EC0343"/>
    <w:rsid w:val="00EC08E5"/>
    <w:rsid w:val="00EC09DD"/>
    <w:rsid w:val="00EC0AB9"/>
    <w:rsid w:val="00EC0C45"/>
    <w:rsid w:val="00EC1506"/>
    <w:rsid w:val="00EC1F30"/>
    <w:rsid w:val="00EC22D0"/>
    <w:rsid w:val="00EC285E"/>
    <w:rsid w:val="00EC3B21"/>
    <w:rsid w:val="00EC6A5B"/>
    <w:rsid w:val="00EC7FD8"/>
    <w:rsid w:val="00ED0E31"/>
    <w:rsid w:val="00ED3296"/>
    <w:rsid w:val="00ED3CE5"/>
    <w:rsid w:val="00ED5299"/>
    <w:rsid w:val="00ED5CCD"/>
    <w:rsid w:val="00ED5E85"/>
    <w:rsid w:val="00ED79EA"/>
    <w:rsid w:val="00ED7FC9"/>
    <w:rsid w:val="00EE18AB"/>
    <w:rsid w:val="00EE2BA9"/>
    <w:rsid w:val="00EE3FCE"/>
    <w:rsid w:val="00EF0286"/>
    <w:rsid w:val="00EF044A"/>
    <w:rsid w:val="00EF2F5D"/>
    <w:rsid w:val="00EF34A3"/>
    <w:rsid w:val="00EF4C65"/>
    <w:rsid w:val="00EF533B"/>
    <w:rsid w:val="00F00AC2"/>
    <w:rsid w:val="00F01E62"/>
    <w:rsid w:val="00F02062"/>
    <w:rsid w:val="00F021D4"/>
    <w:rsid w:val="00F02891"/>
    <w:rsid w:val="00F031D8"/>
    <w:rsid w:val="00F03E1B"/>
    <w:rsid w:val="00F10AF0"/>
    <w:rsid w:val="00F120E3"/>
    <w:rsid w:val="00F12720"/>
    <w:rsid w:val="00F12B8B"/>
    <w:rsid w:val="00F13F02"/>
    <w:rsid w:val="00F14734"/>
    <w:rsid w:val="00F1540F"/>
    <w:rsid w:val="00F1544B"/>
    <w:rsid w:val="00F164B1"/>
    <w:rsid w:val="00F17503"/>
    <w:rsid w:val="00F200B3"/>
    <w:rsid w:val="00F2012D"/>
    <w:rsid w:val="00F21CC9"/>
    <w:rsid w:val="00F22E0B"/>
    <w:rsid w:val="00F24897"/>
    <w:rsid w:val="00F24CB8"/>
    <w:rsid w:val="00F27F0D"/>
    <w:rsid w:val="00F30E43"/>
    <w:rsid w:val="00F30E51"/>
    <w:rsid w:val="00F34AE8"/>
    <w:rsid w:val="00F35DF9"/>
    <w:rsid w:val="00F37DB4"/>
    <w:rsid w:val="00F400CC"/>
    <w:rsid w:val="00F4413E"/>
    <w:rsid w:val="00F445D0"/>
    <w:rsid w:val="00F47433"/>
    <w:rsid w:val="00F51F38"/>
    <w:rsid w:val="00F534C9"/>
    <w:rsid w:val="00F53C7A"/>
    <w:rsid w:val="00F53DFF"/>
    <w:rsid w:val="00F54F0C"/>
    <w:rsid w:val="00F60B05"/>
    <w:rsid w:val="00F614AA"/>
    <w:rsid w:val="00F6168E"/>
    <w:rsid w:val="00F6175F"/>
    <w:rsid w:val="00F64293"/>
    <w:rsid w:val="00F66A08"/>
    <w:rsid w:val="00F70F88"/>
    <w:rsid w:val="00F716E4"/>
    <w:rsid w:val="00F73795"/>
    <w:rsid w:val="00F75422"/>
    <w:rsid w:val="00F75564"/>
    <w:rsid w:val="00F802F9"/>
    <w:rsid w:val="00F81F47"/>
    <w:rsid w:val="00F906B0"/>
    <w:rsid w:val="00F93B57"/>
    <w:rsid w:val="00F96A16"/>
    <w:rsid w:val="00FA354C"/>
    <w:rsid w:val="00FA4BF4"/>
    <w:rsid w:val="00FA5DB1"/>
    <w:rsid w:val="00FA75F9"/>
    <w:rsid w:val="00FB17CE"/>
    <w:rsid w:val="00FB1B2E"/>
    <w:rsid w:val="00FB1EA6"/>
    <w:rsid w:val="00FB20C3"/>
    <w:rsid w:val="00FB49B9"/>
    <w:rsid w:val="00FB61DF"/>
    <w:rsid w:val="00FC0EB5"/>
    <w:rsid w:val="00FC25C6"/>
    <w:rsid w:val="00FC3681"/>
    <w:rsid w:val="00FC3B19"/>
    <w:rsid w:val="00FC5712"/>
    <w:rsid w:val="00FC7022"/>
    <w:rsid w:val="00FC7881"/>
    <w:rsid w:val="00FC7DEF"/>
    <w:rsid w:val="00FD0097"/>
    <w:rsid w:val="00FD05A0"/>
    <w:rsid w:val="00FD1B27"/>
    <w:rsid w:val="00FD234C"/>
    <w:rsid w:val="00FD2B94"/>
    <w:rsid w:val="00FD515C"/>
    <w:rsid w:val="00FD5679"/>
    <w:rsid w:val="00FD5A84"/>
    <w:rsid w:val="00FD6764"/>
    <w:rsid w:val="00FD680D"/>
    <w:rsid w:val="00FE103B"/>
    <w:rsid w:val="00FE1E3C"/>
    <w:rsid w:val="00FE3242"/>
    <w:rsid w:val="00FE432D"/>
    <w:rsid w:val="00FE46DF"/>
    <w:rsid w:val="00FE4F03"/>
    <w:rsid w:val="00FE53CF"/>
    <w:rsid w:val="00FE60E2"/>
    <w:rsid w:val="00FE68C5"/>
    <w:rsid w:val="00FF0D93"/>
    <w:rsid w:val="00FF4037"/>
    <w:rsid w:val="00FF417A"/>
    <w:rsid w:val="00FF46EC"/>
    <w:rsid w:val="00FF5583"/>
    <w:rsid w:val="00FF61F7"/>
    <w:rsid w:val="00FF63D8"/>
    <w:rsid w:val="00FF71A2"/>
    <w:rsid w:val="015B789B"/>
    <w:rsid w:val="018AE8EA"/>
    <w:rsid w:val="01A46F9A"/>
    <w:rsid w:val="01B31403"/>
    <w:rsid w:val="020FE6D4"/>
    <w:rsid w:val="0230FEC6"/>
    <w:rsid w:val="0364AFC9"/>
    <w:rsid w:val="0415BEB5"/>
    <w:rsid w:val="049026BF"/>
    <w:rsid w:val="054717B7"/>
    <w:rsid w:val="05880DA1"/>
    <w:rsid w:val="059B9A23"/>
    <w:rsid w:val="05E9BF0D"/>
    <w:rsid w:val="06A0F619"/>
    <w:rsid w:val="0781D936"/>
    <w:rsid w:val="07DEABE9"/>
    <w:rsid w:val="0845F652"/>
    <w:rsid w:val="086994B2"/>
    <w:rsid w:val="08F7F1CD"/>
    <w:rsid w:val="0B424C04"/>
    <w:rsid w:val="0C822CED"/>
    <w:rsid w:val="0CA1E8E4"/>
    <w:rsid w:val="0CC96758"/>
    <w:rsid w:val="0D9F77A0"/>
    <w:rsid w:val="0DB632FA"/>
    <w:rsid w:val="0E1DE0A8"/>
    <w:rsid w:val="0E22D5FC"/>
    <w:rsid w:val="0E73E867"/>
    <w:rsid w:val="0F4C59B1"/>
    <w:rsid w:val="0F501F95"/>
    <w:rsid w:val="0FAA2E44"/>
    <w:rsid w:val="0FC1C7F0"/>
    <w:rsid w:val="0FDC29F4"/>
    <w:rsid w:val="1095AF1F"/>
    <w:rsid w:val="113BDAB5"/>
    <w:rsid w:val="1155816A"/>
    <w:rsid w:val="11562B79"/>
    <w:rsid w:val="117E94A8"/>
    <w:rsid w:val="11CE2DF1"/>
    <w:rsid w:val="128DAB2E"/>
    <w:rsid w:val="12EDADD7"/>
    <w:rsid w:val="13597C75"/>
    <w:rsid w:val="139A465B"/>
    <w:rsid w:val="14002F5E"/>
    <w:rsid w:val="140074A3"/>
    <w:rsid w:val="148D222C"/>
    <w:rsid w:val="1553565D"/>
    <w:rsid w:val="155F960B"/>
    <w:rsid w:val="15A5C668"/>
    <w:rsid w:val="15FD3729"/>
    <w:rsid w:val="16015A9B"/>
    <w:rsid w:val="16776682"/>
    <w:rsid w:val="16CA5330"/>
    <w:rsid w:val="16FB0C42"/>
    <w:rsid w:val="18290F90"/>
    <w:rsid w:val="18DFC74F"/>
    <w:rsid w:val="192775DD"/>
    <w:rsid w:val="1930C2AD"/>
    <w:rsid w:val="1960934F"/>
    <w:rsid w:val="19A74DEC"/>
    <w:rsid w:val="1AC964C6"/>
    <w:rsid w:val="1AE18368"/>
    <w:rsid w:val="1B030B58"/>
    <w:rsid w:val="1B61E9DA"/>
    <w:rsid w:val="1BD4E764"/>
    <w:rsid w:val="1CA479F7"/>
    <w:rsid w:val="1D388DFD"/>
    <w:rsid w:val="1D574C67"/>
    <w:rsid w:val="1D6D0C87"/>
    <w:rsid w:val="1FB2AFA3"/>
    <w:rsid w:val="204FE43A"/>
    <w:rsid w:val="219774F0"/>
    <w:rsid w:val="21B27F31"/>
    <w:rsid w:val="222F4404"/>
    <w:rsid w:val="224D7D4F"/>
    <w:rsid w:val="22A3BD06"/>
    <w:rsid w:val="2307CFF3"/>
    <w:rsid w:val="234061F6"/>
    <w:rsid w:val="2376B00D"/>
    <w:rsid w:val="24946B41"/>
    <w:rsid w:val="24AB5173"/>
    <w:rsid w:val="255E6C71"/>
    <w:rsid w:val="265BC86D"/>
    <w:rsid w:val="284B042F"/>
    <w:rsid w:val="286A80E2"/>
    <w:rsid w:val="28A55FA5"/>
    <w:rsid w:val="28CF3651"/>
    <w:rsid w:val="28F5AC81"/>
    <w:rsid w:val="29B268F1"/>
    <w:rsid w:val="29DAA909"/>
    <w:rsid w:val="2A2F744B"/>
    <w:rsid w:val="2ABE2CEC"/>
    <w:rsid w:val="2AF60EA0"/>
    <w:rsid w:val="2B23C58E"/>
    <w:rsid w:val="2CB64561"/>
    <w:rsid w:val="2CBF7F59"/>
    <w:rsid w:val="2CE0B3B3"/>
    <w:rsid w:val="2D59D371"/>
    <w:rsid w:val="2EB19A93"/>
    <w:rsid w:val="2EEABFC1"/>
    <w:rsid w:val="2F0BF609"/>
    <w:rsid w:val="2F93D9DA"/>
    <w:rsid w:val="2FB7D35E"/>
    <w:rsid w:val="304EA1EB"/>
    <w:rsid w:val="30514C19"/>
    <w:rsid w:val="31839DF9"/>
    <w:rsid w:val="31C22BA6"/>
    <w:rsid w:val="31E03D38"/>
    <w:rsid w:val="31ED1C7A"/>
    <w:rsid w:val="3205CDEE"/>
    <w:rsid w:val="325487E4"/>
    <w:rsid w:val="32A0B873"/>
    <w:rsid w:val="32D60889"/>
    <w:rsid w:val="3302C7D0"/>
    <w:rsid w:val="3365A1D3"/>
    <w:rsid w:val="3380DF2A"/>
    <w:rsid w:val="33983165"/>
    <w:rsid w:val="33AA47DF"/>
    <w:rsid w:val="33E21441"/>
    <w:rsid w:val="341F579D"/>
    <w:rsid w:val="343EC5AE"/>
    <w:rsid w:val="34BAAA7B"/>
    <w:rsid w:val="353C7E5F"/>
    <w:rsid w:val="37B41447"/>
    <w:rsid w:val="38D3AF44"/>
    <w:rsid w:val="38D3C56F"/>
    <w:rsid w:val="390FF9F7"/>
    <w:rsid w:val="39291370"/>
    <w:rsid w:val="39DE1D54"/>
    <w:rsid w:val="3A26A8F5"/>
    <w:rsid w:val="3A53BCC9"/>
    <w:rsid w:val="3A6F62FF"/>
    <w:rsid w:val="3A7E3C5B"/>
    <w:rsid w:val="3AA8C88F"/>
    <w:rsid w:val="3B07CF65"/>
    <w:rsid w:val="3C0423F0"/>
    <w:rsid w:val="3C92FEB2"/>
    <w:rsid w:val="3D94AD28"/>
    <w:rsid w:val="3DBC9084"/>
    <w:rsid w:val="3DC070C5"/>
    <w:rsid w:val="3DE202DB"/>
    <w:rsid w:val="3E26C3DE"/>
    <w:rsid w:val="3E486464"/>
    <w:rsid w:val="3E8AB02A"/>
    <w:rsid w:val="3E906E97"/>
    <w:rsid w:val="3F825B01"/>
    <w:rsid w:val="402BBDC8"/>
    <w:rsid w:val="40450F21"/>
    <w:rsid w:val="404E4786"/>
    <w:rsid w:val="40DEA483"/>
    <w:rsid w:val="411301A0"/>
    <w:rsid w:val="414A22AA"/>
    <w:rsid w:val="41E53111"/>
    <w:rsid w:val="432D9C8E"/>
    <w:rsid w:val="438BCAE3"/>
    <w:rsid w:val="43AEAF5E"/>
    <w:rsid w:val="44164545"/>
    <w:rsid w:val="443C095F"/>
    <w:rsid w:val="44F1468E"/>
    <w:rsid w:val="44F3CDB4"/>
    <w:rsid w:val="4526517A"/>
    <w:rsid w:val="45F60E18"/>
    <w:rsid w:val="4849186A"/>
    <w:rsid w:val="4864E7F6"/>
    <w:rsid w:val="48F89196"/>
    <w:rsid w:val="491D0EF9"/>
    <w:rsid w:val="494289AD"/>
    <w:rsid w:val="496ABAE4"/>
    <w:rsid w:val="4A00B857"/>
    <w:rsid w:val="4B51DAD3"/>
    <w:rsid w:val="4B7C3C5A"/>
    <w:rsid w:val="4C5CCB16"/>
    <w:rsid w:val="4C65AC09"/>
    <w:rsid w:val="4C6EB852"/>
    <w:rsid w:val="4CA25E9D"/>
    <w:rsid w:val="4CA39D94"/>
    <w:rsid w:val="4D034DD3"/>
    <w:rsid w:val="4D180CBB"/>
    <w:rsid w:val="4D44A83F"/>
    <w:rsid w:val="4DD28C87"/>
    <w:rsid w:val="4E4D1E99"/>
    <w:rsid w:val="4EA280EC"/>
    <w:rsid w:val="4F35514E"/>
    <w:rsid w:val="4FF8EBB4"/>
    <w:rsid w:val="509C1ADD"/>
    <w:rsid w:val="5103AC77"/>
    <w:rsid w:val="51E6AF2F"/>
    <w:rsid w:val="51E93388"/>
    <w:rsid w:val="5213BFFC"/>
    <w:rsid w:val="527823E2"/>
    <w:rsid w:val="528682D3"/>
    <w:rsid w:val="53171A23"/>
    <w:rsid w:val="537C4BC3"/>
    <w:rsid w:val="541D8E5A"/>
    <w:rsid w:val="54246A23"/>
    <w:rsid w:val="549913D9"/>
    <w:rsid w:val="54DF73F8"/>
    <w:rsid w:val="560030EA"/>
    <w:rsid w:val="5761BE88"/>
    <w:rsid w:val="578BBDAC"/>
    <w:rsid w:val="579EB897"/>
    <w:rsid w:val="584C935F"/>
    <w:rsid w:val="586EBF3B"/>
    <w:rsid w:val="591AA27D"/>
    <w:rsid w:val="596E7246"/>
    <w:rsid w:val="59E6CE4B"/>
    <w:rsid w:val="5A3ABDEC"/>
    <w:rsid w:val="5AA4CACE"/>
    <w:rsid w:val="5F22CC57"/>
    <w:rsid w:val="5F748E30"/>
    <w:rsid w:val="5FF3A405"/>
    <w:rsid w:val="60CBA9A7"/>
    <w:rsid w:val="60DE579A"/>
    <w:rsid w:val="62452A81"/>
    <w:rsid w:val="62A87CBE"/>
    <w:rsid w:val="63A6E128"/>
    <w:rsid w:val="63C5ABED"/>
    <w:rsid w:val="63FAB2E0"/>
    <w:rsid w:val="649B17F5"/>
    <w:rsid w:val="64FAB31F"/>
    <w:rsid w:val="655EB25B"/>
    <w:rsid w:val="65D6CF08"/>
    <w:rsid w:val="67554F82"/>
    <w:rsid w:val="67D09D99"/>
    <w:rsid w:val="67E20989"/>
    <w:rsid w:val="685881CF"/>
    <w:rsid w:val="68991D10"/>
    <w:rsid w:val="6A53FE88"/>
    <w:rsid w:val="6ACB3328"/>
    <w:rsid w:val="6BB05167"/>
    <w:rsid w:val="6BFF034D"/>
    <w:rsid w:val="6C29F628"/>
    <w:rsid w:val="6CBED748"/>
    <w:rsid w:val="6CD57087"/>
    <w:rsid w:val="6CDA2D22"/>
    <w:rsid w:val="6D4FF284"/>
    <w:rsid w:val="6E2C0B6B"/>
    <w:rsid w:val="6E656588"/>
    <w:rsid w:val="6E8DC97F"/>
    <w:rsid w:val="6EE04E38"/>
    <w:rsid w:val="6FD76A9F"/>
    <w:rsid w:val="704E9F3F"/>
    <w:rsid w:val="706710D7"/>
    <w:rsid w:val="70B412A8"/>
    <w:rsid w:val="70EAC6E1"/>
    <w:rsid w:val="7113B884"/>
    <w:rsid w:val="7140E54E"/>
    <w:rsid w:val="71E03290"/>
    <w:rsid w:val="73116F63"/>
    <w:rsid w:val="73A8B8EC"/>
    <w:rsid w:val="742C75A0"/>
    <w:rsid w:val="744FA984"/>
    <w:rsid w:val="75662EB0"/>
    <w:rsid w:val="75779782"/>
    <w:rsid w:val="77AAF2FC"/>
    <w:rsid w:val="782DF596"/>
    <w:rsid w:val="79574A2B"/>
    <w:rsid w:val="797EF3EA"/>
    <w:rsid w:val="79EAA09D"/>
    <w:rsid w:val="7AD47467"/>
    <w:rsid w:val="7AF2933A"/>
    <w:rsid w:val="7B97E3E3"/>
    <w:rsid w:val="7BD80C83"/>
    <w:rsid w:val="7C071BE9"/>
    <w:rsid w:val="7C2DFFFC"/>
    <w:rsid w:val="7C2FF3E0"/>
    <w:rsid w:val="7CA989EC"/>
    <w:rsid w:val="7CBB40F1"/>
    <w:rsid w:val="7CEF73C1"/>
    <w:rsid w:val="7D0BAC2E"/>
    <w:rsid w:val="7D177185"/>
    <w:rsid w:val="7D3D316B"/>
    <w:rsid w:val="7D8CC4EA"/>
    <w:rsid w:val="7DEB8802"/>
    <w:rsid w:val="7E435E25"/>
    <w:rsid w:val="7E46EB32"/>
    <w:rsid w:val="7E49B19C"/>
    <w:rsid w:val="7F11856E"/>
    <w:rsid w:val="7F292A13"/>
    <w:rsid w:val="7F29A768"/>
    <w:rsid w:val="7F9D1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3C4"/>
  <w15:chartTrackingRefBased/>
  <w15:docId w15:val="{66B05ECF-DE21-4FB8-B9CC-499347B9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69"/>
  </w:style>
  <w:style w:type="paragraph" w:styleId="Heading1">
    <w:name w:val="heading 1"/>
    <w:basedOn w:val="Normal"/>
    <w:link w:val="Heading1Char"/>
    <w:uiPriority w:val="9"/>
    <w:qFormat/>
    <w:rsid w:val="00AE5E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21 table"/>
    <w:basedOn w:val="TableNormal"/>
    <w:uiPriority w:val="59"/>
    <w:rsid w:val="0023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669"/>
  </w:style>
  <w:style w:type="paragraph" w:styleId="Footer">
    <w:name w:val="footer"/>
    <w:basedOn w:val="Normal"/>
    <w:link w:val="FooterChar"/>
    <w:uiPriority w:val="99"/>
    <w:unhideWhenUsed/>
    <w:rsid w:val="00233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669"/>
  </w:style>
  <w:style w:type="paragraph" w:styleId="ListParagraph">
    <w:name w:val="List Paragraph"/>
    <w:aliases w:val="body text1"/>
    <w:basedOn w:val="Normal"/>
    <w:link w:val="ListParagraphChar"/>
    <w:uiPriority w:val="34"/>
    <w:qFormat/>
    <w:rsid w:val="008A778E"/>
    <w:pPr>
      <w:ind w:left="720"/>
      <w:contextualSpacing/>
    </w:pPr>
  </w:style>
  <w:style w:type="character" w:styleId="CommentReference">
    <w:name w:val="annotation reference"/>
    <w:basedOn w:val="DefaultParagraphFont"/>
    <w:uiPriority w:val="99"/>
    <w:semiHidden/>
    <w:unhideWhenUsed/>
    <w:rsid w:val="00632874"/>
    <w:rPr>
      <w:sz w:val="16"/>
      <w:szCs w:val="16"/>
    </w:rPr>
  </w:style>
  <w:style w:type="paragraph" w:styleId="CommentText">
    <w:name w:val="annotation text"/>
    <w:basedOn w:val="Normal"/>
    <w:link w:val="CommentTextChar"/>
    <w:uiPriority w:val="99"/>
    <w:unhideWhenUsed/>
    <w:rsid w:val="00632874"/>
    <w:pPr>
      <w:spacing w:line="240" w:lineRule="auto"/>
    </w:pPr>
    <w:rPr>
      <w:sz w:val="20"/>
      <w:szCs w:val="20"/>
    </w:rPr>
  </w:style>
  <w:style w:type="character" w:customStyle="1" w:styleId="CommentTextChar">
    <w:name w:val="Comment Text Char"/>
    <w:basedOn w:val="DefaultParagraphFont"/>
    <w:link w:val="CommentText"/>
    <w:uiPriority w:val="99"/>
    <w:rsid w:val="00632874"/>
    <w:rPr>
      <w:sz w:val="20"/>
      <w:szCs w:val="20"/>
    </w:rPr>
  </w:style>
  <w:style w:type="paragraph" w:styleId="CommentSubject">
    <w:name w:val="annotation subject"/>
    <w:basedOn w:val="CommentText"/>
    <w:next w:val="CommentText"/>
    <w:link w:val="CommentSubjectChar"/>
    <w:uiPriority w:val="99"/>
    <w:semiHidden/>
    <w:unhideWhenUsed/>
    <w:rsid w:val="00632874"/>
    <w:rPr>
      <w:b/>
      <w:bCs/>
    </w:rPr>
  </w:style>
  <w:style w:type="character" w:customStyle="1" w:styleId="CommentSubjectChar">
    <w:name w:val="Comment Subject Char"/>
    <w:basedOn w:val="CommentTextChar"/>
    <w:link w:val="CommentSubject"/>
    <w:uiPriority w:val="99"/>
    <w:semiHidden/>
    <w:rsid w:val="00632874"/>
    <w:rPr>
      <w:b/>
      <w:bCs/>
      <w:sz w:val="20"/>
      <w:szCs w:val="20"/>
    </w:rPr>
  </w:style>
  <w:style w:type="paragraph" w:styleId="BalloonText">
    <w:name w:val="Balloon Text"/>
    <w:basedOn w:val="Normal"/>
    <w:link w:val="BalloonTextChar"/>
    <w:uiPriority w:val="99"/>
    <w:semiHidden/>
    <w:unhideWhenUsed/>
    <w:rsid w:val="00632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874"/>
    <w:rPr>
      <w:rFonts w:ascii="Segoe UI" w:hAnsi="Segoe UI" w:cs="Segoe UI"/>
      <w:sz w:val="18"/>
      <w:szCs w:val="18"/>
    </w:rPr>
  </w:style>
  <w:style w:type="character" w:styleId="Hyperlink">
    <w:name w:val="Hyperlink"/>
    <w:basedOn w:val="DefaultParagraphFont"/>
    <w:uiPriority w:val="99"/>
    <w:unhideWhenUsed/>
    <w:rsid w:val="00C63E2C"/>
    <w:rPr>
      <w:color w:val="0563C1" w:themeColor="hyperlink"/>
      <w:u w:val="single"/>
    </w:rPr>
  </w:style>
  <w:style w:type="paragraph" w:customStyle="1" w:styleId="TableParagraph">
    <w:name w:val="Table Paragraph"/>
    <w:basedOn w:val="Normal"/>
    <w:uiPriority w:val="1"/>
    <w:qFormat/>
    <w:rsid w:val="00BB7645"/>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1F541A"/>
    <w:rPr>
      <w:color w:val="605E5C"/>
      <w:shd w:val="clear" w:color="auto" w:fill="E1DFDD"/>
    </w:rPr>
  </w:style>
  <w:style w:type="paragraph" w:styleId="Revision">
    <w:name w:val="Revision"/>
    <w:hidden/>
    <w:uiPriority w:val="99"/>
    <w:semiHidden/>
    <w:rsid w:val="00B91D3B"/>
    <w:pPr>
      <w:spacing w:after="0" w:line="240" w:lineRule="auto"/>
    </w:pPr>
  </w:style>
  <w:style w:type="character" w:styleId="FollowedHyperlink">
    <w:name w:val="FollowedHyperlink"/>
    <w:basedOn w:val="DefaultParagraphFont"/>
    <w:uiPriority w:val="99"/>
    <w:semiHidden/>
    <w:unhideWhenUsed/>
    <w:rsid w:val="006B25E9"/>
    <w:rPr>
      <w:color w:val="954F72" w:themeColor="followedHyperlink"/>
      <w:u w:val="single"/>
    </w:rPr>
  </w:style>
  <w:style w:type="paragraph" w:styleId="NoSpacing">
    <w:name w:val="No Spacing"/>
    <w:uiPriority w:val="1"/>
    <w:qFormat/>
    <w:rsid w:val="00F22E0B"/>
    <w:pPr>
      <w:spacing w:after="0" w:line="240" w:lineRule="auto"/>
    </w:pPr>
    <w:rPr>
      <w:rFonts w:ascii="Arial" w:eastAsia="Times New Roman" w:hAnsi="Arial" w:cs="Times New Roman"/>
      <w:sz w:val="24"/>
      <w:szCs w:val="20"/>
      <w:lang w:val="en-US" w:eastAsia="en-GB"/>
    </w:rPr>
  </w:style>
  <w:style w:type="paragraph" w:styleId="BodyText">
    <w:name w:val="Body Text"/>
    <w:basedOn w:val="Normal"/>
    <w:link w:val="BodyTextChar"/>
    <w:uiPriority w:val="1"/>
    <w:qFormat/>
    <w:rsid w:val="00F22E0B"/>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22E0B"/>
    <w:rPr>
      <w:rFonts w:ascii="Arial" w:eastAsia="Arial" w:hAnsi="Arial" w:cs="Arial"/>
    </w:rPr>
  </w:style>
  <w:style w:type="character" w:customStyle="1" w:styleId="normaltextrun">
    <w:name w:val="normaltextrun"/>
    <w:basedOn w:val="DefaultParagraphFont"/>
    <w:rsid w:val="0089364C"/>
  </w:style>
  <w:style w:type="paragraph" w:styleId="NormalWeb">
    <w:name w:val="Normal (Web)"/>
    <w:basedOn w:val="Normal"/>
    <w:uiPriority w:val="99"/>
    <w:unhideWhenUsed/>
    <w:rsid w:val="00EA69BC"/>
    <w:pPr>
      <w:spacing w:before="100" w:beforeAutospacing="1" w:after="100" w:afterAutospacing="1" w:line="240" w:lineRule="auto"/>
    </w:pPr>
    <w:rPr>
      <w:rFonts w:ascii="Calibri" w:hAnsi="Calibri" w:cs="Calibri"/>
      <w:lang w:eastAsia="en-GB"/>
    </w:rPr>
  </w:style>
  <w:style w:type="paragraph" w:customStyle="1" w:styleId="pf0">
    <w:name w:val="pf0"/>
    <w:basedOn w:val="Normal"/>
    <w:rsid w:val="006A02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A0276"/>
    <w:rPr>
      <w:rFonts w:ascii="Segoe UI" w:hAnsi="Segoe UI" w:cs="Segoe UI" w:hint="default"/>
      <w:sz w:val="18"/>
      <w:szCs w:val="18"/>
    </w:rPr>
  </w:style>
  <w:style w:type="character" w:styleId="Strong">
    <w:name w:val="Strong"/>
    <w:basedOn w:val="DefaultParagraphFont"/>
    <w:uiPriority w:val="22"/>
    <w:qFormat/>
    <w:rsid w:val="001068DF"/>
    <w:rPr>
      <w:b/>
      <w:bCs/>
    </w:rPr>
  </w:style>
  <w:style w:type="character" w:customStyle="1" w:styleId="Heading1Char">
    <w:name w:val="Heading 1 Char"/>
    <w:basedOn w:val="DefaultParagraphFont"/>
    <w:link w:val="Heading1"/>
    <w:uiPriority w:val="9"/>
    <w:rsid w:val="00AE5EB5"/>
    <w:rPr>
      <w:rFonts w:ascii="Times New Roman" w:eastAsia="Times New Roman" w:hAnsi="Times New Roman" w:cs="Times New Roman"/>
      <w:b/>
      <w:bCs/>
      <w:kern w:val="36"/>
      <w:sz w:val="48"/>
      <w:szCs w:val="48"/>
      <w:lang w:eastAsia="en-GB"/>
    </w:rPr>
  </w:style>
  <w:style w:type="character" w:customStyle="1" w:styleId="ListParagraphChar">
    <w:name w:val="List Paragraph Char"/>
    <w:aliases w:val="body text1 Char"/>
    <w:basedOn w:val="DefaultParagraphFont"/>
    <w:link w:val="ListParagraph"/>
    <w:uiPriority w:val="34"/>
    <w:locked/>
    <w:rsid w:val="004E393C"/>
  </w:style>
  <w:style w:type="character" w:styleId="Mention">
    <w:name w:val="Mention"/>
    <w:basedOn w:val="DefaultParagraphFont"/>
    <w:uiPriority w:val="99"/>
    <w:unhideWhenUsed/>
    <w:rsid w:val="004857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243">
      <w:bodyDiv w:val="1"/>
      <w:marLeft w:val="0"/>
      <w:marRight w:val="0"/>
      <w:marTop w:val="0"/>
      <w:marBottom w:val="0"/>
      <w:divBdr>
        <w:top w:val="none" w:sz="0" w:space="0" w:color="auto"/>
        <w:left w:val="none" w:sz="0" w:space="0" w:color="auto"/>
        <w:bottom w:val="none" w:sz="0" w:space="0" w:color="auto"/>
        <w:right w:val="none" w:sz="0" w:space="0" w:color="auto"/>
      </w:divBdr>
    </w:div>
    <w:div w:id="29842647">
      <w:bodyDiv w:val="1"/>
      <w:marLeft w:val="0"/>
      <w:marRight w:val="0"/>
      <w:marTop w:val="0"/>
      <w:marBottom w:val="0"/>
      <w:divBdr>
        <w:top w:val="none" w:sz="0" w:space="0" w:color="auto"/>
        <w:left w:val="none" w:sz="0" w:space="0" w:color="auto"/>
        <w:bottom w:val="none" w:sz="0" w:space="0" w:color="auto"/>
        <w:right w:val="none" w:sz="0" w:space="0" w:color="auto"/>
      </w:divBdr>
    </w:div>
    <w:div w:id="137577128">
      <w:bodyDiv w:val="1"/>
      <w:marLeft w:val="0"/>
      <w:marRight w:val="0"/>
      <w:marTop w:val="0"/>
      <w:marBottom w:val="0"/>
      <w:divBdr>
        <w:top w:val="none" w:sz="0" w:space="0" w:color="auto"/>
        <w:left w:val="none" w:sz="0" w:space="0" w:color="auto"/>
        <w:bottom w:val="none" w:sz="0" w:space="0" w:color="auto"/>
        <w:right w:val="none" w:sz="0" w:space="0" w:color="auto"/>
      </w:divBdr>
    </w:div>
    <w:div w:id="223833394">
      <w:bodyDiv w:val="1"/>
      <w:marLeft w:val="0"/>
      <w:marRight w:val="0"/>
      <w:marTop w:val="0"/>
      <w:marBottom w:val="0"/>
      <w:divBdr>
        <w:top w:val="none" w:sz="0" w:space="0" w:color="auto"/>
        <w:left w:val="none" w:sz="0" w:space="0" w:color="auto"/>
        <w:bottom w:val="none" w:sz="0" w:space="0" w:color="auto"/>
        <w:right w:val="none" w:sz="0" w:space="0" w:color="auto"/>
      </w:divBdr>
    </w:div>
    <w:div w:id="397048852">
      <w:bodyDiv w:val="1"/>
      <w:marLeft w:val="0"/>
      <w:marRight w:val="0"/>
      <w:marTop w:val="0"/>
      <w:marBottom w:val="0"/>
      <w:divBdr>
        <w:top w:val="none" w:sz="0" w:space="0" w:color="auto"/>
        <w:left w:val="none" w:sz="0" w:space="0" w:color="auto"/>
        <w:bottom w:val="none" w:sz="0" w:space="0" w:color="auto"/>
        <w:right w:val="none" w:sz="0" w:space="0" w:color="auto"/>
      </w:divBdr>
    </w:div>
    <w:div w:id="664093037">
      <w:bodyDiv w:val="1"/>
      <w:marLeft w:val="0"/>
      <w:marRight w:val="0"/>
      <w:marTop w:val="0"/>
      <w:marBottom w:val="0"/>
      <w:divBdr>
        <w:top w:val="none" w:sz="0" w:space="0" w:color="auto"/>
        <w:left w:val="none" w:sz="0" w:space="0" w:color="auto"/>
        <w:bottom w:val="none" w:sz="0" w:space="0" w:color="auto"/>
        <w:right w:val="none" w:sz="0" w:space="0" w:color="auto"/>
      </w:divBdr>
    </w:div>
    <w:div w:id="740785559">
      <w:bodyDiv w:val="1"/>
      <w:marLeft w:val="0"/>
      <w:marRight w:val="0"/>
      <w:marTop w:val="0"/>
      <w:marBottom w:val="0"/>
      <w:divBdr>
        <w:top w:val="none" w:sz="0" w:space="0" w:color="auto"/>
        <w:left w:val="none" w:sz="0" w:space="0" w:color="auto"/>
        <w:bottom w:val="none" w:sz="0" w:space="0" w:color="auto"/>
        <w:right w:val="none" w:sz="0" w:space="0" w:color="auto"/>
      </w:divBdr>
    </w:div>
    <w:div w:id="808012482">
      <w:bodyDiv w:val="1"/>
      <w:marLeft w:val="0"/>
      <w:marRight w:val="0"/>
      <w:marTop w:val="0"/>
      <w:marBottom w:val="0"/>
      <w:divBdr>
        <w:top w:val="none" w:sz="0" w:space="0" w:color="auto"/>
        <w:left w:val="none" w:sz="0" w:space="0" w:color="auto"/>
        <w:bottom w:val="none" w:sz="0" w:space="0" w:color="auto"/>
        <w:right w:val="none" w:sz="0" w:space="0" w:color="auto"/>
      </w:divBdr>
    </w:div>
    <w:div w:id="908002078">
      <w:bodyDiv w:val="1"/>
      <w:marLeft w:val="0"/>
      <w:marRight w:val="0"/>
      <w:marTop w:val="0"/>
      <w:marBottom w:val="0"/>
      <w:divBdr>
        <w:top w:val="none" w:sz="0" w:space="0" w:color="auto"/>
        <w:left w:val="none" w:sz="0" w:space="0" w:color="auto"/>
        <w:bottom w:val="none" w:sz="0" w:space="0" w:color="auto"/>
        <w:right w:val="none" w:sz="0" w:space="0" w:color="auto"/>
      </w:divBdr>
    </w:div>
    <w:div w:id="914826735">
      <w:bodyDiv w:val="1"/>
      <w:marLeft w:val="0"/>
      <w:marRight w:val="0"/>
      <w:marTop w:val="0"/>
      <w:marBottom w:val="0"/>
      <w:divBdr>
        <w:top w:val="none" w:sz="0" w:space="0" w:color="auto"/>
        <w:left w:val="none" w:sz="0" w:space="0" w:color="auto"/>
        <w:bottom w:val="none" w:sz="0" w:space="0" w:color="auto"/>
        <w:right w:val="none" w:sz="0" w:space="0" w:color="auto"/>
      </w:divBdr>
    </w:div>
    <w:div w:id="942303853">
      <w:bodyDiv w:val="1"/>
      <w:marLeft w:val="0"/>
      <w:marRight w:val="0"/>
      <w:marTop w:val="0"/>
      <w:marBottom w:val="0"/>
      <w:divBdr>
        <w:top w:val="none" w:sz="0" w:space="0" w:color="auto"/>
        <w:left w:val="none" w:sz="0" w:space="0" w:color="auto"/>
        <w:bottom w:val="none" w:sz="0" w:space="0" w:color="auto"/>
        <w:right w:val="none" w:sz="0" w:space="0" w:color="auto"/>
      </w:divBdr>
    </w:div>
    <w:div w:id="1126582565">
      <w:bodyDiv w:val="1"/>
      <w:marLeft w:val="0"/>
      <w:marRight w:val="0"/>
      <w:marTop w:val="0"/>
      <w:marBottom w:val="0"/>
      <w:divBdr>
        <w:top w:val="none" w:sz="0" w:space="0" w:color="auto"/>
        <w:left w:val="none" w:sz="0" w:space="0" w:color="auto"/>
        <w:bottom w:val="none" w:sz="0" w:space="0" w:color="auto"/>
        <w:right w:val="none" w:sz="0" w:space="0" w:color="auto"/>
      </w:divBdr>
    </w:div>
    <w:div w:id="1533348760">
      <w:bodyDiv w:val="1"/>
      <w:marLeft w:val="0"/>
      <w:marRight w:val="0"/>
      <w:marTop w:val="0"/>
      <w:marBottom w:val="0"/>
      <w:divBdr>
        <w:top w:val="none" w:sz="0" w:space="0" w:color="auto"/>
        <w:left w:val="none" w:sz="0" w:space="0" w:color="auto"/>
        <w:bottom w:val="none" w:sz="0" w:space="0" w:color="auto"/>
        <w:right w:val="none" w:sz="0" w:space="0" w:color="auto"/>
      </w:divBdr>
    </w:div>
    <w:div w:id="1539900501">
      <w:bodyDiv w:val="1"/>
      <w:marLeft w:val="0"/>
      <w:marRight w:val="0"/>
      <w:marTop w:val="0"/>
      <w:marBottom w:val="0"/>
      <w:divBdr>
        <w:top w:val="none" w:sz="0" w:space="0" w:color="auto"/>
        <w:left w:val="none" w:sz="0" w:space="0" w:color="auto"/>
        <w:bottom w:val="none" w:sz="0" w:space="0" w:color="auto"/>
        <w:right w:val="none" w:sz="0" w:space="0" w:color="auto"/>
      </w:divBdr>
    </w:div>
    <w:div w:id="1586954933">
      <w:bodyDiv w:val="1"/>
      <w:marLeft w:val="0"/>
      <w:marRight w:val="0"/>
      <w:marTop w:val="0"/>
      <w:marBottom w:val="0"/>
      <w:divBdr>
        <w:top w:val="none" w:sz="0" w:space="0" w:color="auto"/>
        <w:left w:val="none" w:sz="0" w:space="0" w:color="auto"/>
        <w:bottom w:val="none" w:sz="0" w:space="0" w:color="auto"/>
        <w:right w:val="none" w:sz="0" w:space="0" w:color="auto"/>
      </w:divBdr>
    </w:div>
    <w:div w:id="1691032874">
      <w:bodyDiv w:val="1"/>
      <w:marLeft w:val="0"/>
      <w:marRight w:val="0"/>
      <w:marTop w:val="0"/>
      <w:marBottom w:val="0"/>
      <w:divBdr>
        <w:top w:val="none" w:sz="0" w:space="0" w:color="auto"/>
        <w:left w:val="none" w:sz="0" w:space="0" w:color="auto"/>
        <w:bottom w:val="none" w:sz="0" w:space="0" w:color="auto"/>
        <w:right w:val="none" w:sz="0" w:space="0" w:color="auto"/>
      </w:divBdr>
    </w:div>
    <w:div w:id="1768766521">
      <w:bodyDiv w:val="1"/>
      <w:marLeft w:val="0"/>
      <w:marRight w:val="0"/>
      <w:marTop w:val="0"/>
      <w:marBottom w:val="0"/>
      <w:divBdr>
        <w:top w:val="none" w:sz="0" w:space="0" w:color="auto"/>
        <w:left w:val="none" w:sz="0" w:space="0" w:color="auto"/>
        <w:bottom w:val="none" w:sz="0" w:space="0" w:color="auto"/>
        <w:right w:val="none" w:sz="0" w:space="0" w:color="auto"/>
      </w:divBdr>
    </w:div>
    <w:div w:id="1860116634">
      <w:bodyDiv w:val="1"/>
      <w:marLeft w:val="0"/>
      <w:marRight w:val="0"/>
      <w:marTop w:val="0"/>
      <w:marBottom w:val="0"/>
      <w:divBdr>
        <w:top w:val="none" w:sz="0" w:space="0" w:color="auto"/>
        <w:left w:val="none" w:sz="0" w:space="0" w:color="auto"/>
        <w:bottom w:val="none" w:sz="0" w:space="0" w:color="auto"/>
        <w:right w:val="none" w:sz="0" w:space="0" w:color="auto"/>
      </w:divBdr>
    </w:div>
    <w:div w:id="1942029143">
      <w:bodyDiv w:val="1"/>
      <w:marLeft w:val="0"/>
      <w:marRight w:val="0"/>
      <w:marTop w:val="0"/>
      <w:marBottom w:val="0"/>
      <w:divBdr>
        <w:top w:val="none" w:sz="0" w:space="0" w:color="auto"/>
        <w:left w:val="none" w:sz="0" w:space="0" w:color="auto"/>
        <w:bottom w:val="none" w:sz="0" w:space="0" w:color="auto"/>
        <w:right w:val="none" w:sz="0" w:space="0" w:color="auto"/>
      </w:divBdr>
    </w:div>
    <w:div w:id="2047826055">
      <w:bodyDiv w:val="1"/>
      <w:marLeft w:val="0"/>
      <w:marRight w:val="0"/>
      <w:marTop w:val="0"/>
      <w:marBottom w:val="0"/>
      <w:divBdr>
        <w:top w:val="none" w:sz="0" w:space="0" w:color="auto"/>
        <w:left w:val="none" w:sz="0" w:space="0" w:color="auto"/>
        <w:bottom w:val="none" w:sz="0" w:space="0" w:color="auto"/>
        <w:right w:val="none" w:sz="0" w:space="0" w:color="auto"/>
      </w:divBdr>
    </w:div>
    <w:div w:id="2101633519">
      <w:bodyDiv w:val="1"/>
      <w:marLeft w:val="0"/>
      <w:marRight w:val="0"/>
      <w:marTop w:val="0"/>
      <w:marBottom w:val="0"/>
      <w:divBdr>
        <w:top w:val="none" w:sz="0" w:space="0" w:color="auto"/>
        <w:left w:val="none" w:sz="0" w:space="0" w:color="auto"/>
        <w:bottom w:val="none" w:sz="0" w:space="0" w:color="auto"/>
        <w:right w:val="none" w:sz="0" w:space="0" w:color="auto"/>
      </w:divBdr>
      <w:divsChild>
        <w:div w:id="2025744294">
          <w:marLeft w:val="0"/>
          <w:marRight w:val="0"/>
          <w:marTop w:val="0"/>
          <w:marBottom w:val="0"/>
          <w:divBdr>
            <w:top w:val="none" w:sz="0" w:space="0" w:color="auto"/>
            <w:left w:val="none" w:sz="0" w:space="0" w:color="auto"/>
            <w:bottom w:val="none" w:sz="0" w:space="0" w:color="auto"/>
            <w:right w:val="none" w:sz="0" w:space="0" w:color="auto"/>
          </w:divBdr>
        </w:div>
      </w:divsChild>
    </w:div>
    <w:div w:id="21460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u.ac.uk/about-us/governance/board-of-governors/committees/remuneration-committ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u.ac.uk/about-us/governance/board-of-governors/committees/remuneration-committ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DestructionDate xmlns="d6a6db84-99ce-4eb8-880e-f25c003822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d3dbe8cf3a783b3027a6bda05057ce4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970d74a2e923934fbe3dd9a0c7b4bbfd"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D509F-C925-4647-85D3-904A5AE28EA8}">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C34B3392-501E-4F76-9831-F43AC8911668}">
  <ds:schemaRefs>
    <ds:schemaRef ds:uri="http://schemas.microsoft.com/sharepoint/v3/contenttype/forms"/>
  </ds:schemaRefs>
</ds:datastoreItem>
</file>

<file path=customXml/itemProps3.xml><?xml version="1.0" encoding="utf-8"?>
<ds:datastoreItem xmlns:ds="http://schemas.openxmlformats.org/officeDocument/2006/customXml" ds:itemID="{FEF40C16-5808-42AF-B34C-21A2066F5F52}">
  <ds:schemaRefs>
    <ds:schemaRef ds:uri="http://schemas.openxmlformats.org/officeDocument/2006/bibliography"/>
  </ds:schemaRefs>
</ds:datastoreItem>
</file>

<file path=customXml/itemProps4.xml><?xml version="1.0" encoding="utf-8"?>
<ds:datastoreItem xmlns:ds="http://schemas.openxmlformats.org/officeDocument/2006/customXml" ds:itemID="{74BBDBE1-E580-4503-9C84-CE48491F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2445</Words>
  <Characters>13942</Characters>
  <Application>Microsoft Office Word</Application>
  <DocSecurity>0</DocSecurity>
  <Lines>116</Lines>
  <Paragraphs>32</Paragraphs>
  <ScaleCrop>false</ScaleCrop>
  <Company>Sheffield Hallam University</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 Ruth</dc:creator>
  <cp:keywords/>
  <dc:description/>
  <cp:lastModifiedBy>Stallard, Lorraine C</cp:lastModifiedBy>
  <cp:revision>12</cp:revision>
  <cp:lastPrinted>2020-05-20T00:06:00Z</cp:lastPrinted>
  <dcterms:created xsi:type="dcterms:W3CDTF">2025-11-11T14:06:00Z</dcterms:created>
  <dcterms:modified xsi:type="dcterms:W3CDTF">2026-02-06T15:09:00Z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