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gridCol w:w="6667"/>
      </w:tblGrid>
      <w:tr w:rsidR="00C85204" w:rsidRPr="00FD6E71" w14:paraId="2DE7E63A" w14:textId="77777777" w:rsidTr="5F2DFBCD">
        <w:tc>
          <w:tcPr>
            <w:tcW w:w="9359" w:type="dxa"/>
            <w:gridSpan w:val="2"/>
          </w:tcPr>
          <w:p w14:paraId="474E9CF3" w14:textId="2F4B63AA" w:rsidR="00C85204" w:rsidRPr="00FD6E71" w:rsidRDefault="00C85204" w:rsidP="00C85204">
            <w:pPr>
              <w:spacing w:after="120"/>
              <w:rPr>
                <w:rFonts w:eastAsiaTheme="minorEastAsia" w:cstheme="minorHAnsi"/>
                <w:b/>
                <w:bCs/>
                <w:color w:val="621B40"/>
                <w:sz w:val="24"/>
                <w:szCs w:val="24"/>
                <w:lang w:eastAsia="zh-CN"/>
              </w:rPr>
            </w:pPr>
            <w:r w:rsidRPr="00FD6E71">
              <w:rPr>
                <w:rFonts w:eastAsiaTheme="minorEastAsia" w:cstheme="minorHAnsi"/>
                <w:b/>
                <w:bCs/>
                <w:color w:val="621B40"/>
                <w:sz w:val="24"/>
                <w:szCs w:val="24"/>
                <w:lang w:eastAsia="zh-CN"/>
              </w:rPr>
              <w:t>TERMS OF REFERENCE</w:t>
            </w:r>
          </w:p>
        </w:tc>
      </w:tr>
      <w:tr w:rsidR="002037CB" w:rsidRPr="00FD6E71" w14:paraId="611D1021" w14:textId="77777777" w:rsidTr="5F2DFBCD">
        <w:tc>
          <w:tcPr>
            <w:tcW w:w="9359" w:type="dxa"/>
            <w:gridSpan w:val="2"/>
          </w:tcPr>
          <w:p w14:paraId="7C2CE368" w14:textId="495F3969" w:rsidR="002037CB" w:rsidRDefault="002037CB" w:rsidP="00C85204">
            <w:pPr>
              <w:spacing w:after="120"/>
              <w:rPr>
                <w:rFonts w:eastAsiaTheme="minorEastAsia" w:cstheme="minorHAnsi"/>
                <w:b/>
                <w:bCs/>
                <w:color w:val="621B40"/>
                <w:sz w:val="24"/>
                <w:szCs w:val="24"/>
                <w:lang w:eastAsia="zh-CN"/>
              </w:rPr>
            </w:pPr>
            <w:r>
              <w:rPr>
                <w:rFonts w:eastAsiaTheme="minorEastAsia" w:cstheme="minorHAnsi"/>
                <w:b/>
                <w:bCs/>
                <w:color w:val="621B40"/>
                <w:sz w:val="24"/>
                <w:szCs w:val="24"/>
                <w:lang w:eastAsia="zh-CN"/>
              </w:rPr>
              <w:t>Purpose</w:t>
            </w:r>
          </w:p>
        </w:tc>
      </w:tr>
      <w:tr w:rsidR="002037CB" w:rsidRPr="00FD6E71" w14:paraId="0628D02C" w14:textId="77777777" w:rsidTr="5F2DFBCD">
        <w:tc>
          <w:tcPr>
            <w:tcW w:w="9359" w:type="dxa"/>
            <w:gridSpan w:val="2"/>
          </w:tcPr>
          <w:p w14:paraId="6C43F55D" w14:textId="0F5FB849" w:rsidR="002037CB" w:rsidRDefault="002037CB" w:rsidP="00C85204">
            <w:pPr>
              <w:spacing w:after="120"/>
              <w:rPr>
                <w:rFonts w:eastAsiaTheme="minorEastAsia" w:cstheme="minorHAnsi"/>
                <w:b/>
                <w:bCs/>
                <w:color w:val="621B40"/>
                <w:sz w:val="24"/>
                <w:szCs w:val="24"/>
                <w:lang w:eastAsia="zh-CN"/>
              </w:rPr>
            </w:pPr>
            <w:r w:rsidRPr="00FD6E71">
              <w:rPr>
                <w:rFonts w:eastAsia="Times New Roman" w:cstheme="minorHAnsi"/>
                <w:sz w:val="24"/>
                <w:szCs w:val="24"/>
                <w:lang w:eastAsia="en-GB"/>
              </w:rPr>
              <w:t>The overall purpose of the Committee is to provide assurances to the Board of Governors that the University has adequate financial and other management controls in place; that the University is achieving value for money in it</w:t>
            </w:r>
            <w:r>
              <w:rPr>
                <w:rFonts w:eastAsia="Times New Roman" w:cstheme="minorHAnsi"/>
                <w:sz w:val="24"/>
                <w:szCs w:val="24"/>
                <w:lang w:eastAsia="en-GB"/>
              </w:rPr>
              <w:t>s</w:t>
            </w:r>
            <w:r w:rsidRPr="00FD6E71">
              <w:rPr>
                <w:rFonts w:eastAsia="Times New Roman" w:cstheme="minorHAnsi"/>
                <w:sz w:val="24"/>
                <w:szCs w:val="24"/>
                <w:lang w:eastAsia="en-GB"/>
              </w:rPr>
              <w:t xml:space="preserve"> activities; and is exercising adequate control of risks through the active planning, management and assessment of risk in relation to its activities.   </w:t>
            </w:r>
          </w:p>
        </w:tc>
      </w:tr>
      <w:tr w:rsidR="00C85204" w:rsidRPr="00FD6E71" w14:paraId="7D49A0DC" w14:textId="77777777" w:rsidTr="5F2DFBCD">
        <w:tc>
          <w:tcPr>
            <w:tcW w:w="9359" w:type="dxa"/>
            <w:gridSpan w:val="2"/>
          </w:tcPr>
          <w:p w14:paraId="347811A4" w14:textId="3D2BB5F0" w:rsidR="00C85204" w:rsidRPr="00FD6E71" w:rsidRDefault="005A3957" w:rsidP="00C85204">
            <w:pPr>
              <w:spacing w:before="240" w:after="120"/>
              <w:rPr>
                <w:rFonts w:eastAsiaTheme="minorEastAsia" w:cstheme="minorHAnsi"/>
                <w:b/>
                <w:bCs/>
                <w:color w:val="621B40"/>
                <w:sz w:val="24"/>
                <w:szCs w:val="24"/>
                <w:lang w:eastAsia="zh-CN"/>
              </w:rPr>
            </w:pPr>
            <w:r>
              <w:rPr>
                <w:rFonts w:eastAsiaTheme="minorEastAsia" w:cstheme="minorHAnsi"/>
                <w:b/>
                <w:bCs/>
                <w:color w:val="621B40"/>
                <w:sz w:val="24"/>
                <w:szCs w:val="24"/>
                <w:lang w:eastAsia="zh-CN"/>
              </w:rPr>
              <w:t>Delegated Authority</w:t>
            </w:r>
          </w:p>
        </w:tc>
      </w:tr>
      <w:tr w:rsidR="00C85204" w:rsidRPr="00FD6E71" w14:paraId="641C5C7B" w14:textId="77777777" w:rsidTr="5F2DFBCD">
        <w:tc>
          <w:tcPr>
            <w:tcW w:w="9359" w:type="dxa"/>
            <w:gridSpan w:val="2"/>
          </w:tcPr>
          <w:p w14:paraId="0CAD016D" w14:textId="77777777" w:rsidR="00C85204" w:rsidRPr="00FD6E71" w:rsidRDefault="00C85204" w:rsidP="00C85204">
            <w:pPr>
              <w:spacing w:after="120"/>
              <w:rPr>
                <w:rFonts w:cstheme="minorHAnsi"/>
                <w:b/>
                <w:bCs/>
                <w:color w:val="000000" w:themeColor="text1"/>
                <w:sz w:val="24"/>
                <w:szCs w:val="24"/>
              </w:rPr>
            </w:pPr>
            <w:r w:rsidRPr="00FD6E71">
              <w:rPr>
                <w:rFonts w:cstheme="minorHAnsi"/>
                <w:sz w:val="24"/>
                <w:szCs w:val="24"/>
              </w:rPr>
              <w:t>The Committee is authorised by the Board of Governors to investigate any activity within its terms of reference. It is authorised to seek any information it requires from any employee, and all employees are directed to co-operate with any request made by the</w:t>
            </w:r>
            <w:r w:rsidRPr="00FD6E71">
              <w:rPr>
                <w:rFonts w:cstheme="minorHAnsi"/>
                <w:spacing w:val="-14"/>
                <w:sz w:val="24"/>
                <w:szCs w:val="24"/>
              </w:rPr>
              <w:t xml:space="preserve"> </w:t>
            </w:r>
            <w:r w:rsidRPr="00FD6E71">
              <w:rPr>
                <w:rFonts w:cstheme="minorHAnsi"/>
                <w:sz w:val="24"/>
                <w:szCs w:val="24"/>
              </w:rPr>
              <w:t>committee.</w:t>
            </w:r>
          </w:p>
        </w:tc>
      </w:tr>
      <w:tr w:rsidR="00C85204" w:rsidRPr="00FD6E71" w14:paraId="4B74C6C9" w14:textId="77777777" w:rsidTr="5F2DFBCD">
        <w:tc>
          <w:tcPr>
            <w:tcW w:w="9359" w:type="dxa"/>
            <w:gridSpan w:val="2"/>
          </w:tcPr>
          <w:p w14:paraId="2F14C921" w14:textId="2898F952" w:rsidR="00C85204" w:rsidRPr="00FD6E71" w:rsidRDefault="00C85204" w:rsidP="21D20A94">
            <w:pPr>
              <w:spacing w:after="120"/>
              <w:rPr>
                <w:sz w:val="24"/>
                <w:szCs w:val="24"/>
              </w:rPr>
            </w:pPr>
            <w:r w:rsidRPr="5F2DFBCD">
              <w:rPr>
                <w:sz w:val="24"/>
                <w:szCs w:val="24"/>
              </w:rPr>
              <w:t xml:space="preserve">The Committee is authorised by the Board of Governors to obtain outside legal or other independent professional advice and to secure the attendance of non-members with relevant experience and expertise if it considers this necessary, normally in consultation with the </w:t>
            </w:r>
            <w:r w:rsidR="0042389F" w:rsidRPr="5F2DFBCD">
              <w:rPr>
                <w:sz w:val="24"/>
                <w:szCs w:val="24"/>
              </w:rPr>
              <w:t>University Secretary</w:t>
            </w:r>
            <w:r w:rsidRPr="5F2DFBCD">
              <w:rPr>
                <w:sz w:val="24"/>
                <w:szCs w:val="24"/>
              </w:rPr>
              <w:t xml:space="preserve"> and/or </w:t>
            </w:r>
            <w:r w:rsidR="5E75927B" w:rsidRPr="5F2DFBCD">
              <w:rPr>
                <w:sz w:val="24"/>
                <w:szCs w:val="24"/>
              </w:rPr>
              <w:t>C</w:t>
            </w:r>
            <w:r w:rsidRPr="5F2DFBCD">
              <w:rPr>
                <w:sz w:val="24"/>
                <w:szCs w:val="24"/>
              </w:rPr>
              <w:t xml:space="preserve">hair of the Board of Governors. However, it may not incur direct expenditure in this respect </w:t>
            </w:r>
            <w:proofErr w:type="gramStart"/>
            <w:r w:rsidRPr="5F2DFBCD">
              <w:rPr>
                <w:sz w:val="24"/>
                <w:szCs w:val="24"/>
              </w:rPr>
              <w:t>in excess of</w:t>
            </w:r>
            <w:proofErr w:type="gramEnd"/>
            <w:r w:rsidRPr="5F2DFBCD">
              <w:rPr>
                <w:sz w:val="24"/>
                <w:szCs w:val="24"/>
              </w:rPr>
              <w:t xml:space="preserve"> £10,000, without the prior approval of the Board of Governors.</w:t>
            </w:r>
          </w:p>
        </w:tc>
      </w:tr>
      <w:tr w:rsidR="00C85204" w:rsidRPr="00FD6E71" w14:paraId="0C0999FB" w14:textId="77777777" w:rsidTr="5F2DFBCD">
        <w:tc>
          <w:tcPr>
            <w:tcW w:w="9359" w:type="dxa"/>
            <w:gridSpan w:val="2"/>
          </w:tcPr>
          <w:p w14:paraId="59FAF804" w14:textId="77777777" w:rsidR="00C85204" w:rsidRPr="00FD6E71" w:rsidRDefault="00C85204" w:rsidP="00C85204">
            <w:pPr>
              <w:spacing w:after="120"/>
              <w:rPr>
                <w:rFonts w:cstheme="minorHAnsi"/>
                <w:sz w:val="24"/>
                <w:szCs w:val="24"/>
              </w:rPr>
            </w:pPr>
            <w:r w:rsidRPr="00FD6E71">
              <w:rPr>
                <w:rFonts w:cstheme="minorHAnsi"/>
                <w:sz w:val="24"/>
                <w:szCs w:val="24"/>
              </w:rPr>
              <w:t>The Committee will review the audit aspects of the draft annual financial statements. These aspects will include the external audit opinion, the statement of members’ responsibilities, the statement of internal control and any relevant issue raised in the external auditors’ management letter. The Committee should, where appropriate, confirm with the internal and external auditors that the effectiveness of the internal control system has been reviewed, and comment on this in its annual report to the governing body.</w:t>
            </w:r>
          </w:p>
        </w:tc>
      </w:tr>
      <w:tr w:rsidR="005A3957" w:rsidRPr="00FD6E71" w14:paraId="46C85D7E" w14:textId="77777777" w:rsidTr="5F2DFBCD">
        <w:tc>
          <w:tcPr>
            <w:tcW w:w="9359" w:type="dxa"/>
            <w:gridSpan w:val="2"/>
          </w:tcPr>
          <w:p w14:paraId="115D63BF" w14:textId="608F80BE" w:rsidR="005A3957" w:rsidRPr="005A3957" w:rsidRDefault="005A3957" w:rsidP="00C85204">
            <w:pPr>
              <w:spacing w:after="120"/>
              <w:rPr>
                <w:rFonts w:cstheme="minorHAnsi"/>
                <w:b/>
                <w:bCs/>
                <w:sz w:val="24"/>
                <w:szCs w:val="24"/>
              </w:rPr>
            </w:pPr>
            <w:r w:rsidRPr="005A3957">
              <w:rPr>
                <w:rFonts w:cstheme="minorHAnsi"/>
                <w:b/>
                <w:bCs/>
                <w:color w:val="621B40"/>
                <w:sz w:val="24"/>
                <w:szCs w:val="24"/>
              </w:rPr>
              <w:t>Other delegations</w:t>
            </w:r>
            <w:r w:rsidR="0004344B">
              <w:rPr>
                <w:rFonts w:cstheme="minorHAnsi"/>
                <w:b/>
                <w:bCs/>
                <w:color w:val="621B40"/>
                <w:sz w:val="24"/>
                <w:szCs w:val="24"/>
              </w:rPr>
              <w:t xml:space="preserve">: </w:t>
            </w:r>
            <w:r w:rsidR="0004344B" w:rsidRPr="0004344B">
              <w:rPr>
                <w:rFonts w:cstheme="minorHAnsi"/>
                <w:color w:val="621B40"/>
                <w:sz w:val="24"/>
                <w:szCs w:val="24"/>
              </w:rPr>
              <w:t>None</w:t>
            </w:r>
          </w:p>
        </w:tc>
      </w:tr>
      <w:tr w:rsidR="005A3957" w:rsidRPr="00FD6E71" w14:paraId="27506A13" w14:textId="77777777" w:rsidTr="5F2DFBCD">
        <w:tc>
          <w:tcPr>
            <w:tcW w:w="9359" w:type="dxa"/>
            <w:gridSpan w:val="2"/>
          </w:tcPr>
          <w:p w14:paraId="5E275E10" w14:textId="28597C7A" w:rsidR="005A3957" w:rsidRPr="005A3957" w:rsidRDefault="005A3957" w:rsidP="5F2DFBCD">
            <w:pPr>
              <w:spacing w:after="120"/>
              <w:rPr>
                <w:rFonts w:ascii="Calibri" w:eastAsia="Calibri" w:hAnsi="Calibri" w:cs="Calibri"/>
                <w:sz w:val="24"/>
                <w:szCs w:val="24"/>
                <w:lang w:val="en-US"/>
              </w:rPr>
            </w:pPr>
            <w:r w:rsidRPr="5F2DFBCD">
              <w:rPr>
                <w:b/>
                <w:bCs/>
                <w:color w:val="621B40"/>
                <w:sz w:val="24"/>
                <w:szCs w:val="24"/>
              </w:rPr>
              <w:t>Chairs Actions</w:t>
            </w:r>
            <w:r w:rsidR="779337F0" w:rsidRPr="5F2DFBCD">
              <w:rPr>
                <w:b/>
                <w:bCs/>
                <w:color w:val="621B40"/>
                <w:sz w:val="24"/>
                <w:szCs w:val="24"/>
              </w:rPr>
              <w:t xml:space="preserve">: </w:t>
            </w:r>
            <w:r w:rsidR="30C1DEC4" w:rsidRPr="5F2DFBCD">
              <w:rPr>
                <w:rFonts w:ascii="Calibri" w:eastAsia="Calibri" w:hAnsi="Calibri" w:cs="Calibri"/>
                <w:sz w:val="24"/>
                <w:szCs w:val="24"/>
                <w:lang w:val="en-US"/>
              </w:rPr>
              <w:t>In exceptional circumstances, the Chair shall have authority to act between meetings after consulting with the University Secretary who will liaise with the appropriate University Executive Board (UEB) lead. Details of any action taken will then be reported back to the Committee.</w:t>
            </w:r>
          </w:p>
        </w:tc>
      </w:tr>
      <w:tr w:rsidR="00C85204" w:rsidRPr="00FD6E71" w14:paraId="27075C55" w14:textId="77777777" w:rsidTr="5F2DFBCD">
        <w:trPr>
          <w:trHeight w:val="458"/>
        </w:trPr>
        <w:tc>
          <w:tcPr>
            <w:tcW w:w="9359" w:type="dxa"/>
            <w:gridSpan w:val="2"/>
          </w:tcPr>
          <w:p w14:paraId="6764F491" w14:textId="08CF307B" w:rsidR="00C85204" w:rsidRPr="00FD6E71" w:rsidRDefault="005A3957" w:rsidP="00C85204">
            <w:pPr>
              <w:spacing w:before="240" w:after="120"/>
              <w:rPr>
                <w:rFonts w:cstheme="minorHAnsi"/>
                <w:b/>
                <w:bCs/>
                <w:color w:val="621B40"/>
                <w:sz w:val="24"/>
                <w:szCs w:val="24"/>
              </w:rPr>
            </w:pPr>
            <w:r>
              <w:rPr>
                <w:rFonts w:cstheme="minorHAnsi"/>
                <w:b/>
                <w:bCs/>
                <w:color w:val="621B40"/>
                <w:sz w:val="24"/>
                <w:szCs w:val="24"/>
              </w:rPr>
              <w:t>Duties</w:t>
            </w:r>
          </w:p>
        </w:tc>
      </w:tr>
      <w:tr w:rsidR="00C85204" w:rsidRPr="00FD6E71" w14:paraId="752F1840" w14:textId="77777777" w:rsidTr="5F2DFBCD">
        <w:tc>
          <w:tcPr>
            <w:tcW w:w="9359" w:type="dxa"/>
            <w:gridSpan w:val="2"/>
          </w:tcPr>
          <w:p w14:paraId="606DF3CE" w14:textId="7A94567F" w:rsidR="00C85204" w:rsidRPr="00FD6E71" w:rsidRDefault="00C85204" w:rsidP="00C85204">
            <w:pPr>
              <w:spacing w:after="120"/>
              <w:ind w:right="-48"/>
              <w:rPr>
                <w:rFonts w:eastAsia="Times New Roman" w:cstheme="minorHAnsi"/>
                <w:sz w:val="24"/>
                <w:szCs w:val="24"/>
                <w:lang w:eastAsia="en-GB"/>
              </w:rPr>
            </w:pPr>
          </w:p>
        </w:tc>
      </w:tr>
      <w:tr w:rsidR="00C85204" w:rsidRPr="00FD6E71" w14:paraId="13AB639C" w14:textId="77777777" w:rsidTr="5F2DFBCD">
        <w:tc>
          <w:tcPr>
            <w:tcW w:w="9359" w:type="dxa"/>
            <w:gridSpan w:val="2"/>
          </w:tcPr>
          <w:p w14:paraId="2AC2371A" w14:textId="27C741D8" w:rsidR="00C85204" w:rsidRPr="00FD6E71" w:rsidRDefault="002037CB" w:rsidP="00C85204">
            <w:pPr>
              <w:spacing w:after="120"/>
              <w:ind w:right="-48"/>
              <w:rPr>
                <w:rFonts w:eastAsia="Times New Roman" w:cstheme="minorHAnsi"/>
                <w:sz w:val="24"/>
                <w:szCs w:val="24"/>
                <w:lang w:eastAsia="en-GB"/>
              </w:rPr>
            </w:pPr>
            <w:r>
              <w:rPr>
                <w:rFonts w:eastAsia="Times New Roman" w:cstheme="minorHAnsi"/>
                <w:sz w:val="24"/>
                <w:szCs w:val="24"/>
                <w:lang w:eastAsia="en-GB"/>
              </w:rPr>
              <w:t>The</w:t>
            </w:r>
            <w:r w:rsidR="00C85204" w:rsidRPr="00FD6E71">
              <w:rPr>
                <w:rFonts w:eastAsia="Times New Roman" w:cstheme="minorHAnsi"/>
                <w:sz w:val="24"/>
                <w:szCs w:val="24"/>
                <w:lang w:eastAsia="en-GB"/>
              </w:rPr>
              <w:t xml:space="preserve"> specific duties of the Committee are:</w:t>
            </w:r>
          </w:p>
          <w:p w14:paraId="77C8B0FD" w14:textId="77777777" w:rsidR="00C85204" w:rsidRPr="00FD6E71" w:rsidRDefault="00C85204" w:rsidP="00C85204">
            <w:pPr>
              <w:widowControl w:val="0"/>
              <w:numPr>
                <w:ilvl w:val="0"/>
                <w:numId w:val="1"/>
              </w:numPr>
              <w:spacing w:after="120"/>
              <w:ind w:left="426" w:right="-48"/>
              <w:rPr>
                <w:rFonts w:eastAsia="Times New Roman" w:cstheme="minorHAnsi"/>
                <w:sz w:val="24"/>
                <w:szCs w:val="24"/>
                <w:lang w:eastAsia="en-GB"/>
              </w:rPr>
            </w:pPr>
            <w:r w:rsidRPr="00FD6E71">
              <w:rPr>
                <w:rFonts w:eastAsia="Times New Roman" w:cstheme="minorHAnsi"/>
                <w:sz w:val="24"/>
                <w:szCs w:val="24"/>
                <w:lang w:eastAsia="en-GB"/>
              </w:rPr>
              <w:t>To advise the Board of Governors on the appointment of the external auditor, the audit fee, the provision of any non-audit services by the external auditor and any questions of resignation or dismissal of the external auditor.</w:t>
            </w:r>
          </w:p>
          <w:p w14:paraId="693AE43A" w14:textId="77777777" w:rsidR="00C85204" w:rsidRPr="00FD6E71" w:rsidRDefault="00C85204" w:rsidP="00C85204">
            <w:pPr>
              <w:widowControl w:val="0"/>
              <w:numPr>
                <w:ilvl w:val="0"/>
                <w:numId w:val="1"/>
              </w:numPr>
              <w:spacing w:after="120"/>
              <w:ind w:left="426"/>
              <w:rPr>
                <w:rFonts w:eastAsia="Times New Roman" w:cstheme="minorHAnsi"/>
                <w:sz w:val="24"/>
                <w:szCs w:val="24"/>
                <w:lang w:eastAsia="en-GB"/>
              </w:rPr>
            </w:pPr>
            <w:r w:rsidRPr="00FD6E71">
              <w:rPr>
                <w:rFonts w:eastAsia="Times New Roman" w:cstheme="minorHAnsi"/>
                <w:sz w:val="24"/>
                <w:szCs w:val="24"/>
                <w:lang w:eastAsia="en-GB"/>
              </w:rPr>
              <w:t>To discuss with the external auditor before the audit commences the nature and scope of the audit.</w:t>
            </w:r>
          </w:p>
          <w:p w14:paraId="13526AE7" w14:textId="1D587CAF" w:rsidR="00C85204" w:rsidRPr="00FD6E71" w:rsidRDefault="00C85204" w:rsidP="00C85204">
            <w:pPr>
              <w:widowControl w:val="0"/>
              <w:numPr>
                <w:ilvl w:val="0"/>
                <w:numId w:val="1"/>
              </w:numPr>
              <w:spacing w:after="120"/>
              <w:ind w:left="426"/>
              <w:rPr>
                <w:rFonts w:eastAsia="Times New Roman" w:cstheme="minorHAnsi"/>
                <w:sz w:val="24"/>
                <w:szCs w:val="24"/>
                <w:lang w:eastAsia="en-GB"/>
              </w:rPr>
            </w:pPr>
            <w:r w:rsidRPr="00FD6E71">
              <w:rPr>
                <w:rFonts w:eastAsia="Times New Roman" w:cstheme="minorHAnsi"/>
                <w:sz w:val="24"/>
                <w:szCs w:val="24"/>
                <w:lang w:eastAsia="en-GB"/>
              </w:rPr>
              <w:t xml:space="preserve">To discuss with the external </w:t>
            </w:r>
            <w:proofErr w:type="gramStart"/>
            <w:r w:rsidRPr="00FD6E71">
              <w:rPr>
                <w:rFonts w:eastAsia="Times New Roman" w:cstheme="minorHAnsi"/>
                <w:sz w:val="24"/>
                <w:szCs w:val="24"/>
                <w:lang w:eastAsia="en-GB"/>
              </w:rPr>
              <w:t>auditors</w:t>
            </w:r>
            <w:proofErr w:type="gramEnd"/>
            <w:r w:rsidRPr="00FD6E71">
              <w:rPr>
                <w:rFonts w:eastAsia="Times New Roman" w:cstheme="minorHAnsi"/>
                <w:sz w:val="24"/>
                <w:szCs w:val="24"/>
                <w:lang w:eastAsia="en-GB"/>
              </w:rPr>
              <w:t xml:space="preserve"> problems and reservations arising from the interim and final audits, including a review of the </w:t>
            </w:r>
            <w:r w:rsidR="002037CB">
              <w:rPr>
                <w:rFonts w:eastAsia="Times New Roman" w:cstheme="minorHAnsi"/>
                <w:sz w:val="24"/>
                <w:szCs w:val="24"/>
                <w:lang w:eastAsia="en-GB"/>
              </w:rPr>
              <w:t>external auditors’ findings report</w:t>
            </w:r>
            <w:r w:rsidRPr="00FD6E71">
              <w:rPr>
                <w:rFonts w:eastAsia="Times New Roman" w:cstheme="minorHAnsi"/>
                <w:sz w:val="24"/>
                <w:szCs w:val="24"/>
                <w:lang w:eastAsia="en-GB"/>
              </w:rPr>
              <w:t xml:space="preserve"> incorporating management responses, and any matters the auditor may wish to discuss (in the absence </w:t>
            </w:r>
            <w:r w:rsidRPr="00FD6E71">
              <w:rPr>
                <w:rFonts w:eastAsia="Times New Roman" w:cstheme="minorHAnsi"/>
                <w:sz w:val="24"/>
                <w:szCs w:val="24"/>
                <w:lang w:eastAsia="en-GB"/>
              </w:rPr>
              <w:lastRenderedPageBreak/>
              <w:t>of management where necessary).</w:t>
            </w:r>
          </w:p>
          <w:p w14:paraId="5BDBCD9F" w14:textId="77777777" w:rsidR="00C85204" w:rsidRPr="00FD6E71" w:rsidRDefault="00C85204" w:rsidP="00C85204">
            <w:pPr>
              <w:widowControl w:val="0"/>
              <w:numPr>
                <w:ilvl w:val="0"/>
                <w:numId w:val="1"/>
              </w:numPr>
              <w:spacing w:after="120"/>
              <w:ind w:left="426"/>
              <w:rPr>
                <w:rFonts w:eastAsia="Times New Roman" w:cstheme="minorHAnsi"/>
                <w:sz w:val="24"/>
                <w:szCs w:val="24"/>
                <w:lang w:eastAsia="en-GB"/>
              </w:rPr>
            </w:pPr>
            <w:r w:rsidRPr="00FD6E71">
              <w:rPr>
                <w:rFonts w:eastAsia="Times New Roman" w:cstheme="minorHAnsi"/>
                <w:sz w:val="24"/>
                <w:szCs w:val="24"/>
                <w:lang w:eastAsia="en-GB"/>
              </w:rPr>
              <w:t>To consider and advise the Board of Governors on the appointment and terms of engagement of the internal audit service (and head of internal audit, if applicable), the audit fee, the provision of any non-audit services by the internal auditors and any questions of resignation or dismissal of the internal auditors.</w:t>
            </w:r>
          </w:p>
          <w:p w14:paraId="1A6C4553" w14:textId="77777777" w:rsidR="00C85204" w:rsidRPr="00FD6E71" w:rsidRDefault="00C85204" w:rsidP="00C85204">
            <w:pPr>
              <w:widowControl w:val="0"/>
              <w:numPr>
                <w:ilvl w:val="0"/>
                <w:numId w:val="1"/>
              </w:numPr>
              <w:spacing w:after="120"/>
              <w:ind w:left="426"/>
              <w:rPr>
                <w:rFonts w:eastAsia="Times New Roman" w:cstheme="minorHAnsi"/>
                <w:sz w:val="24"/>
                <w:szCs w:val="24"/>
                <w:lang w:eastAsia="en-GB"/>
              </w:rPr>
            </w:pPr>
            <w:r w:rsidRPr="00FD6E71">
              <w:rPr>
                <w:rFonts w:eastAsia="Times New Roman" w:cstheme="minorHAnsi"/>
                <w:sz w:val="24"/>
                <w:szCs w:val="24"/>
                <w:lang w:eastAsia="en-GB"/>
              </w:rPr>
              <w:t>To review the internal auditors’ audit needs assessment and the audit plan, consider major findings of internal audit investigations and management’s response, and promote co-ordination between the internal and external auditors. The Committee will ensure that the resources made available for internal audit are sufficient to meet the institution’s needs (or make a recommendation to the Board of Governors as appropriate).</w:t>
            </w:r>
          </w:p>
          <w:p w14:paraId="46AC3E98" w14:textId="205CE74B" w:rsidR="00C85204" w:rsidRPr="00FD6E71" w:rsidRDefault="00C85204" w:rsidP="00C85204">
            <w:pPr>
              <w:widowControl w:val="0"/>
              <w:numPr>
                <w:ilvl w:val="0"/>
                <w:numId w:val="1"/>
              </w:numPr>
              <w:spacing w:after="120"/>
              <w:ind w:left="426"/>
              <w:rPr>
                <w:rFonts w:eastAsia="Times New Roman" w:cstheme="minorHAnsi"/>
                <w:sz w:val="24"/>
                <w:szCs w:val="24"/>
                <w:lang w:eastAsia="en-GB"/>
              </w:rPr>
            </w:pPr>
            <w:r w:rsidRPr="00FD6E71">
              <w:rPr>
                <w:rFonts w:eastAsia="Times New Roman" w:cstheme="minorHAnsi"/>
                <w:sz w:val="24"/>
                <w:szCs w:val="24"/>
                <w:lang w:eastAsia="en-GB"/>
              </w:rPr>
              <w:t>To keep under review the effectiveness of the risk management, culture, control</w:t>
            </w:r>
            <w:r w:rsidR="002037CB">
              <w:rPr>
                <w:rFonts w:eastAsia="Times New Roman" w:cstheme="minorHAnsi"/>
                <w:sz w:val="24"/>
                <w:szCs w:val="24"/>
                <w:lang w:eastAsia="en-GB"/>
              </w:rPr>
              <w:t>,</w:t>
            </w:r>
            <w:r w:rsidRPr="00FD6E71">
              <w:rPr>
                <w:rFonts w:eastAsia="Times New Roman" w:cstheme="minorHAnsi"/>
                <w:sz w:val="24"/>
                <w:szCs w:val="24"/>
                <w:lang w:eastAsia="en-GB"/>
              </w:rPr>
              <w:t xml:space="preserve"> and governance arrangements, and in particular review the external auditors’ </w:t>
            </w:r>
            <w:r w:rsidR="002037CB">
              <w:rPr>
                <w:rFonts w:eastAsia="Times New Roman" w:cstheme="minorHAnsi"/>
                <w:sz w:val="24"/>
                <w:szCs w:val="24"/>
                <w:lang w:eastAsia="en-GB"/>
              </w:rPr>
              <w:t>findings report</w:t>
            </w:r>
            <w:r w:rsidRPr="00FD6E71">
              <w:rPr>
                <w:rFonts w:eastAsia="Times New Roman" w:cstheme="minorHAnsi"/>
                <w:sz w:val="24"/>
                <w:szCs w:val="24"/>
                <w:lang w:eastAsia="en-GB"/>
              </w:rPr>
              <w:t>, the internal auditors’ annual report, and management responses.</w:t>
            </w:r>
          </w:p>
          <w:p w14:paraId="58EA24F5" w14:textId="77777777" w:rsidR="00C85204" w:rsidRPr="00FD6E71" w:rsidRDefault="00C85204" w:rsidP="00C85204">
            <w:pPr>
              <w:widowControl w:val="0"/>
              <w:numPr>
                <w:ilvl w:val="0"/>
                <w:numId w:val="1"/>
              </w:numPr>
              <w:spacing w:after="120"/>
              <w:ind w:left="453" w:hanging="425"/>
              <w:rPr>
                <w:rFonts w:eastAsia="Times New Roman" w:cstheme="minorHAnsi"/>
                <w:sz w:val="24"/>
                <w:szCs w:val="24"/>
                <w:lang w:eastAsia="en-GB"/>
              </w:rPr>
            </w:pPr>
            <w:r w:rsidRPr="00FD6E71">
              <w:rPr>
                <w:rFonts w:eastAsia="Times New Roman" w:cstheme="minorHAnsi"/>
                <w:sz w:val="24"/>
                <w:szCs w:val="24"/>
                <w:lang w:eastAsia="en-GB"/>
              </w:rPr>
              <w:t>With respect to risk:</w:t>
            </w:r>
          </w:p>
          <w:p w14:paraId="2998BFBE" w14:textId="77777777" w:rsidR="00C85204" w:rsidRPr="00FD6E71" w:rsidRDefault="00C85204" w:rsidP="00C85204">
            <w:pPr>
              <w:spacing w:after="120"/>
              <w:ind w:left="737" w:hanging="284"/>
              <w:rPr>
                <w:rFonts w:eastAsia="Times New Roman" w:cstheme="minorHAnsi"/>
                <w:sz w:val="24"/>
                <w:szCs w:val="24"/>
                <w:lang w:eastAsia="en-GB"/>
              </w:rPr>
            </w:pPr>
            <w:r w:rsidRPr="00FD6E71">
              <w:rPr>
                <w:rFonts w:eastAsia="Times New Roman" w:cstheme="minorHAnsi"/>
                <w:sz w:val="24"/>
                <w:szCs w:val="24"/>
                <w:lang w:eastAsia="en-GB"/>
              </w:rPr>
              <w:t>•</w:t>
            </w:r>
            <w:r w:rsidRPr="00FD6E71">
              <w:rPr>
                <w:rFonts w:eastAsia="Times New Roman" w:cstheme="minorHAnsi"/>
                <w:sz w:val="24"/>
                <w:szCs w:val="24"/>
                <w:lang w:eastAsia="en-GB"/>
              </w:rPr>
              <w:tab/>
              <w:t xml:space="preserve">to consider the Corporate Risk Register (CRR) and the Assurance Framework, and to provide assurance to the Board of Governors that the executive's assessment of key strategic risks is appropriate and in line with Board’s appetite for </w:t>
            </w:r>
            <w:proofErr w:type="gramStart"/>
            <w:r w:rsidRPr="00FD6E71">
              <w:rPr>
                <w:rFonts w:eastAsia="Times New Roman" w:cstheme="minorHAnsi"/>
                <w:sz w:val="24"/>
                <w:szCs w:val="24"/>
                <w:lang w:eastAsia="en-GB"/>
              </w:rPr>
              <w:t>risk;</w:t>
            </w:r>
            <w:proofErr w:type="gramEnd"/>
          </w:p>
          <w:p w14:paraId="6400B5B6" w14:textId="77777777" w:rsidR="00C85204" w:rsidRPr="00FD6E71" w:rsidRDefault="00C85204" w:rsidP="00C85204">
            <w:pPr>
              <w:spacing w:after="120"/>
              <w:ind w:left="737" w:hanging="284"/>
              <w:rPr>
                <w:rFonts w:eastAsia="Times New Roman" w:cstheme="minorHAnsi"/>
                <w:sz w:val="24"/>
                <w:szCs w:val="24"/>
                <w:lang w:eastAsia="en-GB"/>
              </w:rPr>
            </w:pPr>
            <w:r w:rsidRPr="00FD6E71">
              <w:rPr>
                <w:rFonts w:eastAsia="Times New Roman" w:cstheme="minorHAnsi"/>
                <w:sz w:val="24"/>
                <w:szCs w:val="24"/>
                <w:lang w:eastAsia="en-GB"/>
              </w:rPr>
              <w:t>•</w:t>
            </w:r>
            <w:r w:rsidRPr="00FD6E71">
              <w:rPr>
                <w:rFonts w:eastAsia="Times New Roman" w:cstheme="minorHAnsi"/>
                <w:sz w:val="24"/>
                <w:szCs w:val="24"/>
                <w:lang w:eastAsia="en-GB"/>
              </w:rPr>
              <w:tab/>
              <w:t>to receive presentations on the University's significant strategic risks and their management.</w:t>
            </w:r>
          </w:p>
          <w:p w14:paraId="0A47F138" w14:textId="77777777" w:rsidR="00C85204" w:rsidRPr="00FD6E71" w:rsidRDefault="00C85204" w:rsidP="00C85204">
            <w:pPr>
              <w:widowControl w:val="0"/>
              <w:numPr>
                <w:ilvl w:val="0"/>
                <w:numId w:val="1"/>
              </w:numPr>
              <w:spacing w:after="120"/>
              <w:ind w:left="459" w:hanging="459"/>
              <w:rPr>
                <w:rFonts w:eastAsia="Times New Roman" w:cstheme="minorHAnsi"/>
                <w:sz w:val="24"/>
                <w:szCs w:val="24"/>
                <w:lang w:eastAsia="en-GB"/>
              </w:rPr>
            </w:pPr>
            <w:r w:rsidRPr="00FD6E71">
              <w:rPr>
                <w:rFonts w:eastAsia="Times New Roman" w:cstheme="minorHAnsi"/>
                <w:sz w:val="24"/>
                <w:szCs w:val="24"/>
                <w:lang w:eastAsia="en-GB"/>
              </w:rPr>
              <w:t>To monitor the implementation of agreed audit-based recommendations, from whatever source.</w:t>
            </w:r>
          </w:p>
          <w:p w14:paraId="04FDAC9E" w14:textId="5C611927" w:rsidR="00C85204" w:rsidRPr="00FD6E71" w:rsidRDefault="00C85204" w:rsidP="21D20A94">
            <w:pPr>
              <w:widowControl w:val="0"/>
              <w:numPr>
                <w:ilvl w:val="0"/>
                <w:numId w:val="1"/>
              </w:numPr>
              <w:spacing w:after="120"/>
              <w:ind w:left="453" w:hanging="425"/>
              <w:rPr>
                <w:rFonts w:eastAsia="Times New Roman"/>
                <w:sz w:val="24"/>
                <w:szCs w:val="24"/>
                <w:lang w:eastAsia="en-GB"/>
              </w:rPr>
            </w:pPr>
            <w:r w:rsidRPr="5F2DFBCD">
              <w:rPr>
                <w:rFonts w:eastAsia="Times New Roman"/>
                <w:sz w:val="24"/>
                <w:szCs w:val="24"/>
                <w:lang w:eastAsia="en-GB"/>
              </w:rPr>
              <w:t xml:space="preserve">To ensure that all significant losses have been properly investigated </w:t>
            </w:r>
            <w:r w:rsidR="06720507" w:rsidRPr="5F2DFBCD">
              <w:rPr>
                <w:rFonts w:eastAsia="Times New Roman"/>
                <w:sz w:val="24"/>
                <w:szCs w:val="24"/>
                <w:lang w:eastAsia="en-GB"/>
              </w:rPr>
              <w:t xml:space="preserve">by </w:t>
            </w:r>
            <w:r w:rsidR="49BFAAB8" w:rsidRPr="5F2DFBCD">
              <w:rPr>
                <w:rFonts w:eastAsia="Times New Roman"/>
                <w:sz w:val="24"/>
                <w:szCs w:val="24"/>
                <w:lang w:eastAsia="en-GB"/>
              </w:rPr>
              <w:t xml:space="preserve">the Chief Finance Officer and the Vice-Chancellor (as Accountable Officer), </w:t>
            </w:r>
            <w:r w:rsidRPr="5F2DFBCD">
              <w:rPr>
                <w:rFonts w:eastAsia="Times New Roman"/>
                <w:sz w:val="24"/>
                <w:szCs w:val="24"/>
                <w:lang w:eastAsia="en-GB"/>
              </w:rPr>
              <w:t>and that the internal and external auditors, and where appropriate the Office for Students'</w:t>
            </w:r>
            <w:r w:rsidR="21A1F482" w:rsidRPr="5F2DFBCD">
              <w:rPr>
                <w:rFonts w:eastAsia="Times New Roman"/>
                <w:sz w:val="24"/>
                <w:szCs w:val="24"/>
                <w:lang w:eastAsia="en-GB"/>
              </w:rPr>
              <w:t xml:space="preserve"> and any other relevant external bodies</w:t>
            </w:r>
            <w:r w:rsidRPr="5F2DFBCD">
              <w:rPr>
                <w:rFonts w:eastAsia="Times New Roman"/>
                <w:sz w:val="24"/>
                <w:szCs w:val="24"/>
                <w:lang w:eastAsia="en-GB"/>
              </w:rPr>
              <w:t xml:space="preserve"> have been informed.</w:t>
            </w:r>
          </w:p>
          <w:p w14:paraId="12D3D084" w14:textId="77777777" w:rsidR="00C85204" w:rsidRPr="00FD6E71" w:rsidRDefault="00C85204" w:rsidP="00C85204">
            <w:pPr>
              <w:widowControl w:val="0"/>
              <w:numPr>
                <w:ilvl w:val="0"/>
                <w:numId w:val="1"/>
              </w:numPr>
              <w:spacing w:after="120"/>
              <w:ind w:left="453" w:hanging="425"/>
              <w:rPr>
                <w:rFonts w:eastAsia="Times New Roman" w:cstheme="minorHAnsi"/>
                <w:sz w:val="24"/>
                <w:szCs w:val="24"/>
                <w:lang w:eastAsia="en-GB"/>
              </w:rPr>
            </w:pPr>
            <w:r w:rsidRPr="00FD6E71">
              <w:rPr>
                <w:rFonts w:eastAsia="Times New Roman" w:cstheme="minorHAnsi"/>
                <w:sz w:val="24"/>
                <w:szCs w:val="24"/>
                <w:lang w:eastAsia="en-GB"/>
              </w:rPr>
              <w:t>To oversee the institution’s policy on fraud and irregularity, including being notified of any action taken under the policy.</w:t>
            </w:r>
          </w:p>
          <w:p w14:paraId="62F30462" w14:textId="103F41AD" w:rsidR="00C85204" w:rsidRPr="00FD6E71" w:rsidRDefault="00C85204" w:rsidP="00C85204">
            <w:pPr>
              <w:widowControl w:val="0"/>
              <w:numPr>
                <w:ilvl w:val="0"/>
                <w:numId w:val="1"/>
              </w:numPr>
              <w:spacing w:after="120"/>
              <w:ind w:left="453" w:hanging="425"/>
              <w:rPr>
                <w:rFonts w:eastAsia="Times New Roman" w:cstheme="minorHAnsi"/>
                <w:sz w:val="24"/>
                <w:szCs w:val="24"/>
                <w:lang w:eastAsia="en-GB"/>
              </w:rPr>
            </w:pPr>
            <w:r w:rsidRPr="00FD6E71">
              <w:rPr>
                <w:rFonts w:eastAsia="Times New Roman" w:cstheme="minorHAnsi"/>
                <w:sz w:val="24"/>
                <w:szCs w:val="24"/>
                <w:lang w:eastAsia="en-GB"/>
              </w:rPr>
              <w:t xml:space="preserve">To oversee the </w:t>
            </w:r>
            <w:proofErr w:type="gramStart"/>
            <w:r w:rsidRPr="00FD6E71">
              <w:rPr>
                <w:rFonts w:eastAsia="Times New Roman" w:cstheme="minorHAnsi"/>
                <w:sz w:val="24"/>
                <w:szCs w:val="24"/>
                <w:lang w:eastAsia="en-GB"/>
              </w:rPr>
              <w:t>institution’s</w:t>
            </w:r>
            <w:proofErr w:type="gramEnd"/>
            <w:r w:rsidRPr="00FD6E71">
              <w:rPr>
                <w:rFonts w:eastAsia="Times New Roman" w:cstheme="minorHAnsi"/>
                <w:sz w:val="24"/>
                <w:szCs w:val="24"/>
                <w:lang w:eastAsia="en-GB"/>
              </w:rPr>
              <w:t xml:space="preserve"> </w:t>
            </w:r>
            <w:r w:rsidR="002037CB">
              <w:rPr>
                <w:rFonts w:eastAsia="Times New Roman" w:cstheme="minorHAnsi"/>
                <w:sz w:val="24"/>
                <w:szCs w:val="24"/>
                <w:lang w:eastAsia="en-GB"/>
              </w:rPr>
              <w:t xml:space="preserve">Speak Out (Whistleblowing) </w:t>
            </w:r>
            <w:r w:rsidRPr="00FD6E71">
              <w:rPr>
                <w:rFonts w:eastAsia="Times New Roman" w:cstheme="minorHAnsi"/>
                <w:sz w:val="24"/>
                <w:szCs w:val="24"/>
                <w:lang w:eastAsia="en-GB"/>
              </w:rPr>
              <w:t>policy, including being notified of any action taken under the policy.</w:t>
            </w:r>
          </w:p>
          <w:p w14:paraId="1FFC18CB" w14:textId="56988C58" w:rsidR="00C85204" w:rsidRPr="00FD6E71" w:rsidRDefault="00C85204" w:rsidP="00C85204">
            <w:pPr>
              <w:widowControl w:val="0"/>
              <w:numPr>
                <w:ilvl w:val="0"/>
                <w:numId w:val="1"/>
              </w:numPr>
              <w:spacing w:after="120"/>
              <w:ind w:left="432"/>
              <w:rPr>
                <w:rFonts w:eastAsia="Times New Roman" w:cstheme="minorHAnsi"/>
                <w:sz w:val="24"/>
                <w:szCs w:val="24"/>
                <w:lang w:eastAsia="en-GB"/>
              </w:rPr>
            </w:pPr>
            <w:r w:rsidRPr="00FD6E71">
              <w:rPr>
                <w:rFonts w:eastAsia="Times New Roman" w:cstheme="minorHAnsi"/>
                <w:sz w:val="24"/>
                <w:szCs w:val="24"/>
                <w:lang w:eastAsia="en-GB"/>
              </w:rPr>
              <w:t>To satisfy itself that satisfactory arrangements are in place to ensure the sustainability of the institution and to promote economy, efficiency</w:t>
            </w:r>
            <w:r w:rsidR="002037CB">
              <w:rPr>
                <w:rFonts w:eastAsia="Times New Roman" w:cstheme="minorHAnsi"/>
                <w:sz w:val="24"/>
                <w:szCs w:val="24"/>
                <w:lang w:eastAsia="en-GB"/>
              </w:rPr>
              <w:t>,</w:t>
            </w:r>
            <w:r w:rsidRPr="00FD6E71">
              <w:rPr>
                <w:rFonts w:eastAsia="Times New Roman" w:cstheme="minorHAnsi"/>
                <w:sz w:val="24"/>
                <w:szCs w:val="24"/>
                <w:lang w:eastAsia="en-GB"/>
              </w:rPr>
              <w:t xml:space="preserve"> and effectiveness. </w:t>
            </w:r>
          </w:p>
          <w:p w14:paraId="254FDA85" w14:textId="77777777" w:rsidR="00C85204" w:rsidRPr="00FD6E71" w:rsidRDefault="00C85204" w:rsidP="00C85204">
            <w:pPr>
              <w:widowControl w:val="0"/>
              <w:numPr>
                <w:ilvl w:val="0"/>
                <w:numId w:val="1"/>
              </w:numPr>
              <w:spacing w:after="120"/>
              <w:ind w:left="453" w:hanging="425"/>
              <w:rPr>
                <w:rFonts w:eastAsia="Times New Roman" w:cstheme="minorHAnsi"/>
                <w:sz w:val="24"/>
                <w:szCs w:val="24"/>
                <w:lang w:eastAsia="en-GB"/>
              </w:rPr>
            </w:pPr>
            <w:r w:rsidRPr="00FD6E71">
              <w:rPr>
                <w:rFonts w:eastAsia="Times New Roman" w:cstheme="minorHAnsi"/>
                <w:sz w:val="24"/>
                <w:szCs w:val="24"/>
                <w:lang w:eastAsia="en-GB"/>
              </w:rPr>
              <w:t>To satisfy itself that effective arrangements are in place to ensure appropriate and accurate data returns are made to external stakeholders and regulatory bodies.</w:t>
            </w:r>
          </w:p>
          <w:p w14:paraId="037EF1B1" w14:textId="119BFEDE" w:rsidR="00C85204" w:rsidRPr="00FD6E71" w:rsidRDefault="00C85204" w:rsidP="00C85204">
            <w:pPr>
              <w:widowControl w:val="0"/>
              <w:numPr>
                <w:ilvl w:val="0"/>
                <w:numId w:val="1"/>
              </w:numPr>
              <w:spacing w:after="120"/>
              <w:ind w:left="453" w:hanging="425"/>
              <w:rPr>
                <w:rFonts w:eastAsia="Times New Roman" w:cstheme="minorHAnsi"/>
                <w:sz w:val="24"/>
                <w:szCs w:val="24"/>
                <w:lang w:eastAsia="en-GB"/>
              </w:rPr>
            </w:pPr>
            <w:r w:rsidRPr="00FD6E71">
              <w:rPr>
                <w:rFonts w:eastAsia="Times New Roman" w:cstheme="minorHAnsi"/>
                <w:sz w:val="24"/>
                <w:szCs w:val="24"/>
                <w:lang w:eastAsia="en-GB"/>
              </w:rPr>
              <w:t>To receive any relevant reports from the National Audit Office, the Office for Students</w:t>
            </w:r>
            <w:r w:rsidR="002037CB">
              <w:rPr>
                <w:rFonts w:eastAsia="Times New Roman" w:cstheme="minorHAnsi"/>
                <w:sz w:val="24"/>
                <w:szCs w:val="24"/>
                <w:lang w:eastAsia="en-GB"/>
              </w:rPr>
              <w:t>’,</w:t>
            </w:r>
            <w:r w:rsidRPr="00FD6E71">
              <w:rPr>
                <w:rFonts w:eastAsia="Times New Roman" w:cstheme="minorHAnsi"/>
                <w:sz w:val="24"/>
                <w:szCs w:val="24"/>
                <w:lang w:eastAsia="en-GB"/>
              </w:rPr>
              <w:t xml:space="preserve"> and other organisations.</w:t>
            </w:r>
          </w:p>
          <w:p w14:paraId="380AD0D1" w14:textId="77777777" w:rsidR="00C85204" w:rsidRPr="00FD6E71" w:rsidRDefault="00C85204" w:rsidP="00C85204">
            <w:pPr>
              <w:widowControl w:val="0"/>
              <w:numPr>
                <w:ilvl w:val="0"/>
                <w:numId w:val="1"/>
              </w:numPr>
              <w:spacing w:after="120"/>
              <w:ind w:left="453" w:hanging="425"/>
              <w:rPr>
                <w:rFonts w:eastAsia="Times New Roman" w:cstheme="minorHAnsi"/>
                <w:sz w:val="24"/>
                <w:szCs w:val="24"/>
                <w:lang w:eastAsia="en-GB"/>
              </w:rPr>
            </w:pPr>
            <w:r w:rsidRPr="00FD6E71">
              <w:rPr>
                <w:rFonts w:eastAsia="Times New Roman" w:cstheme="minorHAnsi"/>
                <w:sz w:val="24"/>
                <w:szCs w:val="24"/>
                <w:lang w:eastAsia="en-GB"/>
              </w:rPr>
              <w:t>To monitor annually the performance and effectiveness of external and internal auditors, including any matters affecting their objectivity, and to make recommendations to the Board of Governors concerning their re- appointment, where appropriate.</w:t>
            </w:r>
          </w:p>
          <w:p w14:paraId="11F9C0A3" w14:textId="0CBB3E28" w:rsidR="00C85204" w:rsidRPr="00FD6E71" w:rsidRDefault="0014310E" w:rsidP="00C85204">
            <w:pPr>
              <w:widowControl w:val="0"/>
              <w:numPr>
                <w:ilvl w:val="0"/>
                <w:numId w:val="1"/>
              </w:numPr>
              <w:spacing w:after="120"/>
              <w:ind w:left="453" w:hanging="425"/>
              <w:rPr>
                <w:rFonts w:eastAsia="Times New Roman" w:cstheme="minorHAnsi"/>
                <w:sz w:val="24"/>
                <w:szCs w:val="24"/>
                <w:lang w:eastAsia="en-GB"/>
              </w:rPr>
            </w:pPr>
            <w:r>
              <w:rPr>
                <w:rFonts w:eastAsiaTheme="minorEastAsia" w:cstheme="minorHAnsi"/>
                <w:color w:val="000000"/>
                <w:sz w:val="24"/>
                <w:szCs w:val="24"/>
                <w:lang w:eastAsia="zh-CN"/>
              </w:rPr>
              <w:lastRenderedPageBreak/>
              <w:t>To m</w:t>
            </w:r>
            <w:r w:rsidR="00C85204" w:rsidRPr="00FD6E71">
              <w:rPr>
                <w:rFonts w:eastAsiaTheme="minorEastAsia" w:cstheme="minorHAnsi"/>
                <w:color w:val="000000"/>
                <w:sz w:val="24"/>
                <w:szCs w:val="24"/>
                <w:lang w:eastAsia="zh-CN"/>
              </w:rPr>
              <w:t xml:space="preserve">onitor other relevant sources of assurance, for example, other </w:t>
            </w:r>
            <w:r w:rsidR="00C85204" w:rsidRPr="00FD6E71">
              <w:rPr>
                <w:rFonts w:eastAsiaTheme="minorEastAsia" w:cstheme="minorHAnsi"/>
                <w:color w:val="221E1F"/>
                <w:sz w:val="24"/>
                <w:szCs w:val="24"/>
                <w:lang w:eastAsia="zh-CN"/>
              </w:rPr>
              <w:t>external reviews.</w:t>
            </w:r>
          </w:p>
          <w:p w14:paraId="355FF778" w14:textId="064C3BE8" w:rsidR="00C85204" w:rsidRDefault="00C85204" w:rsidP="00C85204">
            <w:pPr>
              <w:widowControl w:val="0"/>
              <w:numPr>
                <w:ilvl w:val="0"/>
                <w:numId w:val="1"/>
              </w:numPr>
              <w:spacing w:after="120"/>
              <w:ind w:left="453" w:hanging="425"/>
              <w:rPr>
                <w:rFonts w:eastAsia="Times New Roman" w:cstheme="minorHAnsi"/>
                <w:sz w:val="24"/>
                <w:szCs w:val="24"/>
                <w:lang w:eastAsia="en-GB"/>
              </w:rPr>
            </w:pPr>
            <w:r w:rsidRPr="00FD6E71">
              <w:rPr>
                <w:rFonts w:eastAsia="Times New Roman" w:cstheme="minorHAnsi"/>
                <w:sz w:val="24"/>
                <w:szCs w:val="24"/>
                <w:lang w:eastAsia="en-GB"/>
              </w:rPr>
              <w:t>To consider elements of the annual financial statements in the presence of the external auditor, including the auditor’s formal opinion, the statement of members’ responsibilities</w:t>
            </w:r>
            <w:r w:rsidR="002037CB">
              <w:rPr>
                <w:rFonts w:eastAsia="Times New Roman" w:cstheme="minorHAnsi"/>
                <w:sz w:val="24"/>
                <w:szCs w:val="24"/>
                <w:lang w:eastAsia="en-GB"/>
              </w:rPr>
              <w:t>,</w:t>
            </w:r>
            <w:r w:rsidRPr="00FD6E71">
              <w:rPr>
                <w:rFonts w:eastAsia="Times New Roman" w:cstheme="minorHAnsi"/>
                <w:sz w:val="24"/>
                <w:szCs w:val="24"/>
                <w:lang w:eastAsia="en-GB"/>
              </w:rPr>
              <w:t xml:space="preserve"> and the statement of internal control, in accordance with Office for Students' Accounts Direction.</w:t>
            </w:r>
          </w:p>
          <w:p w14:paraId="3DA590A8" w14:textId="77777777" w:rsidR="00C85204" w:rsidRPr="00FD6E71" w:rsidRDefault="00C85204" w:rsidP="00C85204">
            <w:pPr>
              <w:widowControl w:val="0"/>
              <w:numPr>
                <w:ilvl w:val="0"/>
                <w:numId w:val="1"/>
              </w:numPr>
              <w:spacing w:after="120"/>
              <w:ind w:left="453" w:hanging="425"/>
              <w:rPr>
                <w:rFonts w:eastAsia="Times New Roman" w:cstheme="minorHAnsi"/>
                <w:sz w:val="24"/>
                <w:szCs w:val="24"/>
                <w:lang w:eastAsia="en-GB"/>
              </w:rPr>
            </w:pPr>
            <w:r w:rsidRPr="00FD6E71">
              <w:rPr>
                <w:rFonts w:eastAsia="Times New Roman" w:cstheme="minorHAnsi"/>
                <w:sz w:val="24"/>
                <w:szCs w:val="24"/>
                <w:lang w:eastAsia="en-GB"/>
              </w:rPr>
              <w:t>In the event of a merger or dissolution of the institution, to ensure that the necessary actions are completed, including arranging for a final set of financial statements to be completed and signed.</w:t>
            </w:r>
          </w:p>
        </w:tc>
      </w:tr>
      <w:tr w:rsidR="00C85204" w:rsidRPr="00FD6E71" w14:paraId="3958F87D" w14:textId="77777777" w:rsidTr="5F2DFBCD">
        <w:tc>
          <w:tcPr>
            <w:tcW w:w="9359" w:type="dxa"/>
            <w:gridSpan w:val="2"/>
          </w:tcPr>
          <w:p w14:paraId="52DE686D" w14:textId="77777777" w:rsidR="00C85204" w:rsidRPr="00FD6E71" w:rsidRDefault="00C85204" w:rsidP="00C85204">
            <w:pPr>
              <w:spacing w:before="120" w:after="120"/>
              <w:rPr>
                <w:rFonts w:eastAsia="Times New Roman" w:cstheme="minorHAnsi"/>
                <w:b/>
                <w:bCs/>
                <w:color w:val="621B40"/>
                <w:sz w:val="24"/>
                <w:szCs w:val="24"/>
              </w:rPr>
            </w:pPr>
            <w:r w:rsidRPr="00FD6E71">
              <w:rPr>
                <w:rFonts w:eastAsia="Times New Roman" w:cstheme="minorHAnsi"/>
                <w:b/>
                <w:bCs/>
                <w:color w:val="621B40"/>
                <w:sz w:val="24"/>
                <w:szCs w:val="24"/>
              </w:rPr>
              <w:lastRenderedPageBreak/>
              <w:t>REPORTING PROCEDURES</w:t>
            </w:r>
          </w:p>
        </w:tc>
      </w:tr>
      <w:tr w:rsidR="00C85204" w:rsidRPr="00FD6E71" w14:paraId="5FC64E47" w14:textId="77777777" w:rsidTr="5F2DFBCD">
        <w:tc>
          <w:tcPr>
            <w:tcW w:w="9359" w:type="dxa"/>
            <w:gridSpan w:val="2"/>
          </w:tcPr>
          <w:p w14:paraId="2541938D" w14:textId="77777777" w:rsidR="00C85204" w:rsidRPr="00FD6E71" w:rsidRDefault="00C85204" w:rsidP="21D20A94">
            <w:pPr>
              <w:spacing w:before="120" w:after="120"/>
              <w:rPr>
                <w:rFonts w:eastAsia="Times New Roman"/>
                <w:color w:val="000000" w:themeColor="text1"/>
                <w:sz w:val="24"/>
                <w:szCs w:val="24"/>
              </w:rPr>
            </w:pPr>
            <w:r w:rsidRPr="5F2DFBCD">
              <w:rPr>
                <w:rFonts w:eastAsia="Times New Roman"/>
                <w:color w:val="000000" w:themeColor="text1"/>
                <w:sz w:val="24"/>
                <w:szCs w:val="24"/>
              </w:rPr>
              <w:t>The minutes of meetings of the Committee will be circulated to all members of the Board of Governors. The Chair of the Audit and Risk Committee will report to meetings of the Board on the work of the Committee (as appropriate).</w:t>
            </w:r>
          </w:p>
        </w:tc>
      </w:tr>
      <w:tr w:rsidR="00C85204" w:rsidRPr="00FD6E71" w14:paraId="7AC97307" w14:textId="77777777" w:rsidTr="5F2DFBCD">
        <w:tc>
          <w:tcPr>
            <w:tcW w:w="9359" w:type="dxa"/>
            <w:gridSpan w:val="2"/>
          </w:tcPr>
          <w:p w14:paraId="55B5F3A0" w14:textId="77777777" w:rsidR="00C85204" w:rsidRPr="00FD6E71" w:rsidRDefault="00C85204" w:rsidP="00C85204">
            <w:pPr>
              <w:spacing w:before="120" w:after="120"/>
              <w:rPr>
                <w:rFonts w:eastAsia="Times New Roman" w:cstheme="minorHAnsi"/>
                <w:color w:val="000000" w:themeColor="text1"/>
                <w:sz w:val="24"/>
                <w:szCs w:val="24"/>
              </w:rPr>
            </w:pPr>
            <w:r w:rsidRPr="00FD6E71">
              <w:rPr>
                <w:rFonts w:eastAsia="Times New Roman" w:cstheme="minorHAnsi"/>
                <w:color w:val="000000" w:themeColor="text1"/>
                <w:sz w:val="24"/>
                <w:szCs w:val="24"/>
              </w:rPr>
              <w:t>The Committee will prepare an annual report covering the institution’s financial year and any significant issues up to the date of preparing the report. The report will be addressed to the Board of Governors and designated officer, summarising the activity for the year. It will give the Committee’s opinion on the adequacy and effectiveness of the institution’s arrangements for the following:</w:t>
            </w:r>
          </w:p>
          <w:p w14:paraId="4050284D" w14:textId="77777777" w:rsidR="00C85204" w:rsidRPr="00FD6E71" w:rsidRDefault="00C85204" w:rsidP="00C85204">
            <w:pPr>
              <w:spacing w:before="120" w:after="120"/>
              <w:ind w:left="312" w:hanging="312"/>
              <w:rPr>
                <w:rFonts w:eastAsia="Times New Roman" w:cstheme="minorHAnsi"/>
                <w:color w:val="000000" w:themeColor="text1"/>
                <w:sz w:val="24"/>
                <w:szCs w:val="24"/>
              </w:rPr>
            </w:pPr>
            <w:r w:rsidRPr="00FD6E71">
              <w:rPr>
                <w:rFonts w:eastAsia="Times New Roman" w:cstheme="minorHAnsi"/>
                <w:color w:val="000000" w:themeColor="text1"/>
                <w:sz w:val="24"/>
                <w:szCs w:val="24"/>
              </w:rPr>
              <w:t>•</w:t>
            </w:r>
            <w:r w:rsidRPr="00FD6E71">
              <w:rPr>
                <w:rFonts w:eastAsia="Times New Roman" w:cstheme="minorHAnsi"/>
                <w:color w:val="000000" w:themeColor="text1"/>
                <w:sz w:val="24"/>
                <w:szCs w:val="24"/>
              </w:rPr>
              <w:tab/>
              <w:t>risk management, control and governance (the risk management element includes the accuracy of the statement of internal control included with the annual statement of accounts</w:t>
            </w:r>
            <w:proofErr w:type="gramStart"/>
            <w:r w:rsidRPr="00FD6E71">
              <w:rPr>
                <w:rFonts w:eastAsia="Times New Roman" w:cstheme="minorHAnsi"/>
                <w:color w:val="000000" w:themeColor="text1"/>
                <w:sz w:val="24"/>
                <w:szCs w:val="24"/>
              </w:rPr>
              <w:t>);</w:t>
            </w:r>
            <w:proofErr w:type="gramEnd"/>
          </w:p>
          <w:p w14:paraId="5E26F061" w14:textId="77777777" w:rsidR="00C85204" w:rsidRPr="00FD6E71" w:rsidRDefault="00C85204" w:rsidP="00C85204">
            <w:pPr>
              <w:spacing w:before="120" w:after="120"/>
              <w:ind w:left="312" w:hanging="312"/>
              <w:rPr>
                <w:rFonts w:eastAsia="Times New Roman" w:cstheme="minorHAnsi"/>
                <w:color w:val="000000" w:themeColor="text1"/>
                <w:sz w:val="24"/>
                <w:szCs w:val="24"/>
              </w:rPr>
            </w:pPr>
            <w:r w:rsidRPr="00FD6E71">
              <w:rPr>
                <w:rFonts w:eastAsia="Times New Roman" w:cstheme="minorHAnsi"/>
                <w:color w:val="000000" w:themeColor="text1"/>
                <w:sz w:val="24"/>
                <w:szCs w:val="24"/>
              </w:rPr>
              <w:t>•</w:t>
            </w:r>
            <w:r w:rsidRPr="00FD6E71">
              <w:rPr>
                <w:rFonts w:eastAsia="Times New Roman" w:cstheme="minorHAnsi"/>
                <w:color w:val="000000" w:themeColor="text1"/>
                <w:sz w:val="24"/>
                <w:szCs w:val="24"/>
              </w:rPr>
              <w:tab/>
              <w:t>economy, efficiency and effectiveness (value for money); and</w:t>
            </w:r>
          </w:p>
          <w:p w14:paraId="16E0B459" w14:textId="77777777" w:rsidR="00C85204" w:rsidRPr="00FD6E71" w:rsidRDefault="00C85204" w:rsidP="00C85204">
            <w:pPr>
              <w:spacing w:before="120" w:after="120"/>
              <w:ind w:left="312" w:hanging="312"/>
              <w:rPr>
                <w:rFonts w:eastAsia="Times New Roman" w:cstheme="minorHAnsi"/>
                <w:color w:val="000000" w:themeColor="text1"/>
                <w:sz w:val="24"/>
                <w:szCs w:val="24"/>
              </w:rPr>
            </w:pPr>
            <w:r w:rsidRPr="00FD6E71">
              <w:rPr>
                <w:rFonts w:eastAsia="Times New Roman" w:cstheme="minorHAnsi"/>
                <w:color w:val="000000" w:themeColor="text1"/>
                <w:sz w:val="24"/>
                <w:szCs w:val="24"/>
              </w:rPr>
              <w:t>•</w:t>
            </w:r>
            <w:r w:rsidRPr="00FD6E71">
              <w:rPr>
                <w:rFonts w:eastAsia="Times New Roman" w:cstheme="minorHAnsi"/>
                <w:color w:val="000000" w:themeColor="text1"/>
                <w:sz w:val="24"/>
                <w:szCs w:val="24"/>
              </w:rPr>
              <w:tab/>
              <w:t>management and quality assurance of data submitted to Higher Education Statistics Agency (</w:t>
            </w:r>
            <w:proofErr w:type="spellStart"/>
            <w:r w:rsidRPr="00FD6E71">
              <w:rPr>
                <w:rFonts w:eastAsia="Times New Roman" w:cstheme="minorHAnsi"/>
                <w:color w:val="000000" w:themeColor="text1"/>
                <w:sz w:val="24"/>
                <w:szCs w:val="24"/>
              </w:rPr>
              <w:t>HESA</w:t>
            </w:r>
            <w:proofErr w:type="spellEnd"/>
            <w:r w:rsidRPr="00FD6E71">
              <w:rPr>
                <w:rFonts w:eastAsia="Times New Roman" w:cstheme="minorHAnsi"/>
                <w:color w:val="000000" w:themeColor="text1"/>
                <w:sz w:val="24"/>
                <w:szCs w:val="24"/>
              </w:rPr>
              <w:t>), the Student Loan Company, the Office for Students, Research England and other bodies.</w:t>
            </w:r>
          </w:p>
          <w:p w14:paraId="45737E84" w14:textId="77777777" w:rsidR="00C85204" w:rsidRPr="00FD6E71" w:rsidRDefault="00C85204" w:rsidP="00C85204">
            <w:pPr>
              <w:spacing w:before="120" w:after="120"/>
              <w:rPr>
                <w:rFonts w:eastAsia="Times New Roman" w:cstheme="minorHAnsi"/>
                <w:color w:val="000000" w:themeColor="text1"/>
                <w:sz w:val="24"/>
                <w:szCs w:val="24"/>
              </w:rPr>
            </w:pPr>
            <w:r w:rsidRPr="00FD6E71">
              <w:rPr>
                <w:rFonts w:eastAsia="Times New Roman" w:cstheme="minorHAnsi"/>
                <w:color w:val="000000" w:themeColor="text1"/>
                <w:sz w:val="24"/>
                <w:szCs w:val="24"/>
              </w:rPr>
              <w:t>This opinion should be based on the information presented to the Committee. The Committee's annual report should normally be submitted to the Board of Governors before the members’ responsibility statement in the annual financial statements is signed.</w:t>
            </w:r>
          </w:p>
        </w:tc>
      </w:tr>
      <w:tr w:rsidR="005A3957" w:rsidRPr="00FD6E71" w14:paraId="0A815FB5" w14:textId="77777777" w:rsidTr="5F2DFBCD">
        <w:tc>
          <w:tcPr>
            <w:tcW w:w="9359" w:type="dxa"/>
            <w:gridSpan w:val="2"/>
          </w:tcPr>
          <w:p w14:paraId="455FE282" w14:textId="19E9B04F" w:rsidR="005A3957" w:rsidRPr="005A3957" w:rsidRDefault="005A3957" w:rsidP="00C85204">
            <w:pPr>
              <w:spacing w:before="120" w:after="120"/>
              <w:rPr>
                <w:rFonts w:eastAsia="Times New Roman" w:cstheme="minorHAnsi"/>
                <w:b/>
                <w:bCs/>
                <w:color w:val="000000" w:themeColor="text1"/>
                <w:sz w:val="24"/>
                <w:szCs w:val="24"/>
              </w:rPr>
            </w:pPr>
            <w:r w:rsidRPr="005A3957">
              <w:rPr>
                <w:rFonts w:eastAsia="Times New Roman" w:cstheme="minorHAnsi"/>
                <w:b/>
                <w:bCs/>
                <w:color w:val="621B40"/>
                <w:sz w:val="24"/>
                <w:szCs w:val="24"/>
              </w:rPr>
              <w:t>CONSTITUTION</w:t>
            </w:r>
          </w:p>
        </w:tc>
      </w:tr>
      <w:tr w:rsidR="00C85204" w:rsidRPr="00FD6E71" w14:paraId="744EF5DB" w14:textId="77777777" w:rsidTr="5F2DFBCD">
        <w:tc>
          <w:tcPr>
            <w:tcW w:w="9359" w:type="dxa"/>
            <w:gridSpan w:val="2"/>
          </w:tcPr>
          <w:p w14:paraId="1D4ED506" w14:textId="351D7F92" w:rsidR="00C85204" w:rsidRPr="00FD6E71" w:rsidRDefault="00C85204" w:rsidP="00C85204">
            <w:pPr>
              <w:spacing w:before="240" w:after="120"/>
              <w:rPr>
                <w:rFonts w:cstheme="minorHAnsi"/>
                <w:color w:val="621B40"/>
                <w:sz w:val="24"/>
                <w:szCs w:val="24"/>
              </w:rPr>
            </w:pPr>
            <w:r w:rsidRPr="00FD6E71">
              <w:rPr>
                <w:rFonts w:eastAsia="Times New Roman" w:cstheme="minorHAnsi"/>
                <w:b/>
                <w:bCs/>
                <w:color w:val="621B40"/>
                <w:sz w:val="24"/>
                <w:szCs w:val="24"/>
              </w:rPr>
              <w:t>MEMBERS</w:t>
            </w:r>
          </w:p>
        </w:tc>
      </w:tr>
      <w:tr w:rsidR="00C85204" w:rsidRPr="00FD6E71" w14:paraId="30A2E9EE" w14:textId="77777777" w:rsidTr="5F2DFBCD">
        <w:tc>
          <w:tcPr>
            <w:tcW w:w="9359" w:type="dxa"/>
            <w:gridSpan w:val="2"/>
          </w:tcPr>
          <w:p w14:paraId="143AD8FC" w14:textId="77777777" w:rsidR="00C85204" w:rsidRPr="00FD6E71" w:rsidRDefault="00C85204" w:rsidP="00C85204">
            <w:pPr>
              <w:spacing w:before="120" w:after="120"/>
              <w:rPr>
                <w:rFonts w:cstheme="minorHAnsi"/>
                <w:sz w:val="24"/>
                <w:szCs w:val="24"/>
              </w:rPr>
            </w:pPr>
            <w:r w:rsidRPr="00FD6E71">
              <w:rPr>
                <w:rFonts w:cstheme="minorHAnsi"/>
                <w:sz w:val="24"/>
                <w:szCs w:val="24"/>
              </w:rPr>
              <w:t>The Committee and its chair shall be appointed by the Board of Governors, from among its own members, and must consist of members with no executive responsibility for the management of the institution. The chair of the Board of Governors should not be a member of the Committee. Members should not have significant interests in the</w:t>
            </w:r>
            <w:r w:rsidRPr="00FD6E71">
              <w:rPr>
                <w:rFonts w:cstheme="minorHAnsi"/>
                <w:spacing w:val="-2"/>
                <w:sz w:val="24"/>
                <w:szCs w:val="24"/>
              </w:rPr>
              <w:t xml:space="preserve"> </w:t>
            </w:r>
            <w:r w:rsidRPr="00FD6E71">
              <w:rPr>
                <w:rFonts w:cstheme="minorHAnsi"/>
                <w:sz w:val="24"/>
                <w:szCs w:val="24"/>
              </w:rPr>
              <w:t>institution.</w:t>
            </w:r>
          </w:p>
        </w:tc>
      </w:tr>
      <w:tr w:rsidR="00C85204" w:rsidRPr="00FD6E71" w14:paraId="78FF8604" w14:textId="77777777" w:rsidTr="5F2DFBCD">
        <w:tc>
          <w:tcPr>
            <w:tcW w:w="9359" w:type="dxa"/>
            <w:gridSpan w:val="2"/>
          </w:tcPr>
          <w:p w14:paraId="74F513A5" w14:textId="77777777" w:rsidR="00C85204" w:rsidRPr="00FD6E71" w:rsidRDefault="00C85204" w:rsidP="21D20A94">
            <w:pPr>
              <w:spacing w:after="120"/>
              <w:rPr>
                <w:rFonts w:eastAsia="Times New Roman"/>
                <w:sz w:val="24"/>
                <w:szCs w:val="24"/>
              </w:rPr>
            </w:pPr>
            <w:r w:rsidRPr="5F2DFBCD">
              <w:rPr>
                <w:rFonts w:eastAsia="Times New Roman"/>
                <w:sz w:val="24"/>
                <w:szCs w:val="24"/>
              </w:rPr>
              <w:t xml:space="preserve">At least one member should have recent and relevant experience in finance, accounting or auditing. The Committee may, if it considers it necessary or desirable, co-opt members with </w:t>
            </w:r>
            <w:proofErr w:type="gramStart"/>
            <w:r w:rsidRPr="5F2DFBCD">
              <w:rPr>
                <w:rFonts w:eastAsia="Times New Roman"/>
                <w:sz w:val="24"/>
                <w:szCs w:val="24"/>
              </w:rPr>
              <w:t>particular expertise</w:t>
            </w:r>
            <w:proofErr w:type="gramEnd"/>
            <w:r w:rsidRPr="5F2DFBCD">
              <w:rPr>
                <w:rFonts w:eastAsia="Times New Roman"/>
                <w:sz w:val="24"/>
                <w:szCs w:val="24"/>
              </w:rPr>
              <w:t xml:space="preserve">. No member of the Committee may also be a member of the Finance and Employment Committee, unless the Board of Governors determines that cross representation involving one member is essential. Where this decision is taken the Board of Governors must make an explicit recorded resolution which sets out the rationale for the </w:t>
            </w:r>
            <w:r w:rsidRPr="5F2DFBCD">
              <w:rPr>
                <w:rFonts w:eastAsia="Times New Roman"/>
                <w:sz w:val="24"/>
                <w:szCs w:val="24"/>
              </w:rPr>
              <w:lastRenderedPageBreak/>
              <w:t>decision - but it is not an option for the chair of either committee or the chair of the Board of Governors.</w:t>
            </w:r>
          </w:p>
        </w:tc>
      </w:tr>
      <w:tr w:rsidR="00C85204" w:rsidRPr="00FD6E71" w14:paraId="148E8774" w14:textId="77777777" w:rsidTr="5F2DFBCD">
        <w:tc>
          <w:tcPr>
            <w:tcW w:w="9359" w:type="dxa"/>
            <w:gridSpan w:val="2"/>
          </w:tcPr>
          <w:p w14:paraId="7DC54900" w14:textId="77B19D07" w:rsidR="00C85204" w:rsidRPr="00FD6E71" w:rsidRDefault="00C85204" w:rsidP="00C85204">
            <w:pPr>
              <w:spacing w:after="120"/>
              <w:rPr>
                <w:rFonts w:eastAsia="Times New Roman" w:cstheme="minorHAnsi"/>
                <w:sz w:val="24"/>
                <w:szCs w:val="24"/>
              </w:rPr>
            </w:pPr>
            <w:r w:rsidRPr="00FD6E71">
              <w:rPr>
                <w:rFonts w:eastAsia="Times New Roman" w:cstheme="minorHAnsi"/>
                <w:sz w:val="24"/>
                <w:szCs w:val="24"/>
              </w:rPr>
              <w:lastRenderedPageBreak/>
              <w:t>The Chief Finance Officer, the head of internal audit, and a representative of the external auditors shall normally attend meetings where business relevant to them is to be discussed. However, at least once a year the Committee should meet with the external and internal auditors without any officers present.</w:t>
            </w:r>
          </w:p>
        </w:tc>
      </w:tr>
      <w:tr w:rsidR="005A3957" w:rsidRPr="00FD6E71" w14:paraId="52D111DD" w14:textId="77777777" w:rsidTr="5F2DFBCD">
        <w:tc>
          <w:tcPr>
            <w:tcW w:w="9359" w:type="dxa"/>
            <w:gridSpan w:val="2"/>
          </w:tcPr>
          <w:p w14:paraId="4F1424B5" w14:textId="4DFCBF52" w:rsidR="005A3957" w:rsidRPr="00FD6E71" w:rsidRDefault="005A3957" w:rsidP="005A3957">
            <w:pPr>
              <w:spacing w:before="120" w:after="120"/>
              <w:rPr>
                <w:rFonts w:eastAsia="Times New Roman" w:cstheme="minorHAnsi"/>
                <w:sz w:val="24"/>
                <w:szCs w:val="24"/>
              </w:rPr>
            </w:pPr>
            <w:r w:rsidRPr="005A3957">
              <w:rPr>
                <w:rFonts w:eastAsia="Times New Roman" w:cstheme="minorHAnsi"/>
                <w:sz w:val="24"/>
                <w:szCs w:val="24"/>
              </w:rPr>
              <w:t>Independent Members</w:t>
            </w:r>
            <w:r>
              <w:rPr>
                <w:rFonts w:eastAsia="Times New Roman" w:cstheme="minorHAnsi"/>
                <w:sz w:val="24"/>
                <w:szCs w:val="24"/>
              </w:rPr>
              <w:t xml:space="preserve"> x 4</w:t>
            </w:r>
          </w:p>
        </w:tc>
      </w:tr>
      <w:tr w:rsidR="005A3957" w:rsidRPr="00FD6E71" w14:paraId="57271B20" w14:textId="77777777" w:rsidTr="5F2DFBCD">
        <w:tc>
          <w:tcPr>
            <w:tcW w:w="9359" w:type="dxa"/>
            <w:gridSpan w:val="2"/>
          </w:tcPr>
          <w:p w14:paraId="5D1704FC" w14:textId="36A379F6" w:rsidR="005A3957" w:rsidRPr="00FD6E71" w:rsidRDefault="005A3957" w:rsidP="005A3957">
            <w:pPr>
              <w:spacing w:before="120" w:after="120"/>
              <w:rPr>
                <w:rFonts w:eastAsia="Times New Roman" w:cstheme="minorHAnsi"/>
                <w:sz w:val="24"/>
                <w:szCs w:val="24"/>
              </w:rPr>
            </w:pPr>
            <w:r w:rsidRPr="005A3957">
              <w:rPr>
                <w:rFonts w:eastAsia="Times New Roman" w:cstheme="minorHAnsi"/>
                <w:sz w:val="24"/>
                <w:szCs w:val="24"/>
              </w:rPr>
              <w:t>External Co-Opted Members</w:t>
            </w:r>
            <w:r>
              <w:rPr>
                <w:rFonts w:eastAsia="Times New Roman" w:cstheme="minorHAnsi"/>
                <w:sz w:val="24"/>
                <w:szCs w:val="24"/>
              </w:rPr>
              <w:t xml:space="preserve"> x 2</w:t>
            </w:r>
          </w:p>
        </w:tc>
      </w:tr>
      <w:tr w:rsidR="00C85204" w:rsidRPr="00FD6E71" w14:paraId="34DFA4E5" w14:textId="77777777" w:rsidTr="5F2DFBCD">
        <w:tc>
          <w:tcPr>
            <w:tcW w:w="2693" w:type="dxa"/>
          </w:tcPr>
          <w:p w14:paraId="124883D4" w14:textId="77777777" w:rsidR="00C85204" w:rsidRPr="00FD6E71" w:rsidRDefault="00C85204" w:rsidP="00C85204">
            <w:pPr>
              <w:spacing w:before="120" w:after="120"/>
              <w:rPr>
                <w:rFonts w:eastAsia="Times New Roman" w:cstheme="minorHAnsi"/>
                <w:b/>
                <w:bCs/>
                <w:sz w:val="24"/>
                <w:szCs w:val="24"/>
              </w:rPr>
            </w:pPr>
            <w:r w:rsidRPr="00FD6E71">
              <w:rPr>
                <w:rFonts w:eastAsia="Times New Roman" w:cstheme="minorHAnsi"/>
                <w:b/>
                <w:bCs/>
                <w:color w:val="621B40"/>
                <w:sz w:val="24"/>
                <w:szCs w:val="24"/>
              </w:rPr>
              <w:t>Total Membership</w:t>
            </w:r>
          </w:p>
        </w:tc>
        <w:tc>
          <w:tcPr>
            <w:tcW w:w="6666" w:type="dxa"/>
          </w:tcPr>
          <w:p w14:paraId="02F61065" w14:textId="77777777" w:rsidR="00C85204" w:rsidRPr="00FD6E71" w:rsidRDefault="00C85204" w:rsidP="00C85204">
            <w:pPr>
              <w:spacing w:before="120" w:after="120"/>
              <w:rPr>
                <w:rFonts w:eastAsia="Times New Roman" w:cstheme="minorHAnsi"/>
                <w:sz w:val="24"/>
                <w:szCs w:val="24"/>
              </w:rPr>
            </w:pPr>
            <w:r w:rsidRPr="00FD6E71">
              <w:rPr>
                <w:rFonts w:eastAsia="Times New Roman" w:cstheme="minorHAnsi"/>
                <w:sz w:val="24"/>
                <w:szCs w:val="24"/>
              </w:rPr>
              <w:t>6</w:t>
            </w:r>
          </w:p>
        </w:tc>
      </w:tr>
      <w:tr w:rsidR="00C85204" w:rsidRPr="00FD6E71" w14:paraId="5D2F374A" w14:textId="77777777" w:rsidTr="5F2DFBCD">
        <w:tc>
          <w:tcPr>
            <w:tcW w:w="2693" w:type="dxa"/>
          </w:tcPr>
          <w:p w14:paraId="02C5B37F" w14:textId="77777777" w:rsidR="00C85204" w:rsidRPr="00FD6E71" w:rsidRDefault="00C85204" w:rsidP="00C85204">
            <w:pPr>
              <w:spacing w:before="120" w:after="120"/>
              <w:rPr>
                <w:rFonts w:eastAsia="Times New Roman" w:cstheme="minorHAnsi"/>
                <w:b/>
                <w:bCs/>
                <w:sz w:val="24"/>
                <w:szCs w:val="24"/>
              </w:rPr>
            </w:pPr>
            <w:r w:rsidRPr="00FD6E71">
              <w:rPr>
                <w:rFonts w:eastAsia="Times New Roman" w:cstheme="minorHAnsi"/>
                <w:b/>
                <w:bCs/>
                <w:color w:val="621B40"/>
                <w:sz w:val="24"/>
                <w:szCs w:val="24"/>
              </w:rPr>
              <w:t>Quorum</w:t>
            </w:r>
          </w:p>
        </w:tc>
        <w:tc>
          <w:tcPr>
            <w:tcW w:w="6666" w:type="dxa"/>
          </w:tcPr>
          <w:p w14:paraId="7583D27F" w14:textId="77777777" w:rsidR="00C85204" w:rsidRPr="00FD6E71" w:rsidRDefault="00C85204" w:rsidP="00C85204">
            <w:pPr>
              <w:spacing w:before="120" w:after="120"/>
              <w:rPr>
                <w:rFonts w:eastAsia="Times New Roman" w:cstheme="minorHAnsi"/>
                <w:sz w:val="24"/>
                <w:szCs w:val="24"/>
              </w:rPr>
            </w:pPr>
            <w:r w:rsidRPr="00FD6E71">
              <w:rPr>
                <w:rFonts w:eastAsia="Times New Roman" w:cstheme="minorHAnsi"/>
                <w:color w:val="000000"/>
                <w:sz w:val="24"/>
                <w:szCs w:val="24"/>
              </w:rPr>
              <w:t xml:space="preserve">3 </w:t>
            </w:r>
            <w:r w:rsidRPr="00FD6E71">
              <w:rPr>
                <w:sz w:val="24"/>
                <w:szCs w:val="24"/>
              </w:rPr>
              <w:t>of which at least 2 must be independent members of the Board</w:t>
            </w:r>
          </w:p>
        </w:tc>
      </w:tr>
      <w:tr w:rsidR="00C85204" w:rsidRPr="00FD6E71" w14:paraId="183D1C6D" w14:textId="77777777" w:rsidTr="5F2DFBCD">
        <w:tc>
          <w:tcPr>
            <w:tcW w:w="2693" w:type="dxa"/>
          </w:tcPr>
          <w:p w14:paraId="77690B0A" w14:textId="77777777" w:rsidR="00C85204" w:rsidRPr="00FD6E71" w:rsidRDefault="00C85204" w:rsidP="00C85204">
            <w:pPr>
              <w:spacing w:before="120" w:after="120"/>
              <w:rPr>
                <w:rFonts w:eastAsia="Times New Roman" w:cstheme="minorHAnsi"/>
                <w:b/>
                <w:bCs/>
                <w:sz w:val="24"/>
                <w:szCs w:val="24"/>
              </w:rPr>
            </w:pPr>
            <w:r w:rsidRPr="00FD6E71">
              <w:rPr>
                <w:rFonts w:eastAsia="Times New Roman" w:cstheme="minorHAnsi"/>
                <w:b/>
                <w:bCs/>
                <w:color w:val="621B40"/>
                <w:sz w:val="24"/>
                <w:szCs w:val="24"/>
              </w:rPr>
              <w:t>Secretary</w:t>
            </w:r>
          </w:p>
        </w:tc>
        <w:tc>
          <w:tcPr>
            <w:tcW w:w="6666" w:type="dxa"/>
          </w:tcPr>
          <w:p w14:paraId="13D973D3" w14:textId="6704F2E7" w:rsidR="00C85204" w:rsidRPr="00FD6E71" w:rsidRDefault="002B4FC7" w:rsidP="00C85204">
            <w:pPr>
              <w:spacing w:before="120" w:after="120"/>
              <w:rPr>
                <w:rFonts w:eastAsia="Times New Roman" w:cstheme="minorHAnsi"/>
                <w:sz w:val="24"/>
                <w:szCs w:val="24"/>
              </w:rPr>
            </w:pPr>
            <w:r>
              <w:rPr>
                <w:rFonts w:eastAsia="Times New Roman" w:cstheme="minorHAnsi"/>
                <w:sz w:val="24"/>
                <w:szCs w:val="24"/>
              </w:rPr>
              <w:t>Angela</w:t>
            </w:r>
            <w:r w:rsidR="00C85123" w:rsidRPr="00C85123">
              <w:rPr>
                <w:rFonts w:eastAsia="Times New Roman" w:cstheme="minorHAnsi"/>
                <w:sz w:val="24"/>
                <w:szCs w:val="24"/>
              </w:rPr>
              <w:t xml:space="preserve"> Temple, Governance Senior Adviser</w:t>
            </w:r>
          </w:p>
        </w:tc>
      </w:tr>
      <w:tr w:rsidR="00C85123" w:rsidRPr="00FD6E71" w14:paraId="7840EA6C" w14:textId="77777777" w:rsidTr="5F2DFBCD">
        <w:tc>
          <w:tcPr>
            <w:tcW w:w="9359" w:type="dxa"/>
            <w:gridSpan w:val="2"/>
          </w:tcPr>
          <w:p w14:paraId="32656E30" w14:textId="027083E2" w:rsidR="00C85123" w:rsidRPr="00C85123" w:rsidRDefault="00C85123" w:rsidP="00C85204">
            <w:pPr>
              <w:spacing w:after="120"/>
              <w:rPr>
                <w:rFonts w:eastAsia="Times New Roman" w:cstheme="minorHAnsi"/>
                <w:b/>
                <w:bCs/>
                <w:sz w:val="24"/>
                <w:szCs w:val="24"/>
              </w:rPr>
            </w:pPr>
            <w:r w:rsidRPr="00C85123">
              <w:rPr>
                <w:rFonts w:eastAsia="Times New Roman" w:cstheme="minorHAnsi"/>
                <w:b/>
                <w:bCs/>
                <w:color w:val="621B40"/>
                <w:sz w:val="24"/>
                <w:szCs w:val="24"/>
              </w:rPr>
              <w:t>IN ATTENDANCE</w:t>
            </w:r>
          </w:p>
        </w:tc>
      </w:tr>
      <w:tr w:rsidR="009750D4" w:rsidRPr="00FD6E71" w14:paraId="73745648" w14:textId="77777777" w:rsidTr="5F2DFBCD">
        <w:tc>
          <w:tcPr>
            <w:tcW w:w="9360" w:type="dxa"/>
            <w:gridSpan w:val="2"/>
          </w:tcPr>
          <w:p w14:paraId="71CA282E" w14:textId="5E4AADFD" w:rsidR="009750D4" w:rsidRPr="00352400" w:rsidRDefault="009750D4" w:rsidP="002B4FC7">
            <w:pPr>
              <w:spacing w:after="120"/>
              <w:rPr>
                <w:rFonts w:eastAsia="Times New Roman" w:cstheme="minorHAnsi"/>
                <w:color w:val="000000" w:themeColor="text1"/>
              </w:rPr>
            </w:pPr>
            <w:r w:rsidRPr="00905064">
              <w:rPr>
                <w:rFonts w:eastAsia="Times New Roman" w:cstheme="minorHAnsi"/>
                <w:sz w:val="24"/>
                <w:szCs w:val="24"/>
              </w:rPr>
              <w:t xml:space="preserve">University Secretary </w:t>
            </w:r>
            <w:r w:rsidR="00CC11E2" w:rsidRPr="008263A8">
              <w:rPr>
                <w:spacing w:val="-2"/>
                <w:sz w:val="24"/>
              </w:rPr>
              <w:t>and Clerk to the Board</w:t>
            </w:r>
          </w:p>
        </w:tc>
      </w:tr>
      <w:tr w:rsidR="009750D4" w:rsidRPr="002B4FC7" w14:paraId="29A5305E" w14:textId="77777777" w:rsidTr="5F2DFBCD">
        <w:tc>
          <w:tcPr>
            <w:tcW w:w="9360" w:type="dxa"/>
            <w:gridSpan w:val="2"/>
          </w:tcPr>
          <w:p w14:paraId="19854B44" w14:textId="28116F99" w:rsidR="009750D4" w:rsidRPr="002B4FC7" w:rsidRDefault="006A51DF" w:rsidP="002B4FC7">
            <w:pPr>
              <w:spacing w:after="120"/>
              <w:rPr>
                <w:rFonts w:eastAsia="Times New Roman" w:cstheme="minorHAnsi"/>
                <w:color w:val="621B40"/>
                <w:sz w:val="24"/>
                <w:szCs w:val="24"/>
              </w:rPr>
            </w:pPr>
            <w:r w:rsidRPr="008263A8">
              <w:rPr>
                <w:spacing w:val="-2"/>
                <w:sz w:val="24"/>
              </w:rPr>
              <w:t>Chief Operating Officer</w:t>
            </w:r>
          </w:p>
        </w:tc>
      </w:tr>
      <w:tr w:rsidR="009750D4" w:rsidRPr="002B4FC7" w14:paraId="5276DB77" w14:textId="77777777" w:rsidTr="5F2DFBCD">
        <w:tc>
          <w:tcPr>
            <w:tcW w:w="9360" w:type="dxa"/>
            <w:gridSpan w:val="2"/>
          </w:tcPr>
          <w:p w14:paraId="5C480864" w14:textId="267452BB" w:rsidR="009750D4" w:rsidRPr="002B4FC7" w:rsidRDefault="009750D4" w:rsidP="002B4FC7">
            <w:pPr>
              <w:spacing w:after="120"/>
              <w:rPr>
                <w:rFonts w:eastAsia="Times New Roman" w:cstheme="minorHAnsi"/>
                <w:color w:val="000000" w:themeColor="text1"/>
                <w:sz w:val="24"/>
                <w:szCs w:val="24"/>
              </w:rPr>
            </w:pPr>
            <w:r w:rsidRPr="002B4FC7">
              <w:rPr>
                <w:rFonts w:eastAsia="Times New Roman" w:cstheme="minorHAnsi"/>
                <w:sz w:val="24"/>
                <w:szCs w:val="24"/>
              </w:rPr>
              <w:t>Chief Finance Officer</w:t>
            </w:r>
          </w:p>
        </w:tc>
      </w:tr>
    </w:tbl>
    <w:p w14:paraId="7CF640D2" w14:textId="77777777" w:rsidR="00C85204" w:rsidRDefault="00C85204">
      <w:pPr>
        <w:rPr>
          <w:sz w:val="24"/>
          <w:szCs w:val="24"/>
        </w:rPr>
      </w:pPr>
    </w:p>
    <w:p w14:paraId="42E87642" w14:textId="02D96A7A" w:rsidR="00507EFB" w:rsidRPr="00507EFB" w:rsidRDefault="00507EFB">
      <w:pPr>
        <w:rPr>
          <w:color w:val="0070C0"/>
          <w:sz w:val="24"/>
          <w:szCs w:val="24"/>
        </w:rPr>
      </w:pPr>
    </w:p>
    <w:sectPr w:rsidR="00507EFB" w:rsidRPr="00507EFB" w:rsidSect="00620563">
      <w:headerReference w:type="default" r:id="rId11"/>
      <w:footerReference w:type="default" r:id="rId12"/>
      <w:pgSz w:w="11906" w:h="16838"/>
      <w:pgMar w:top="1440" w:right="1440" w:bottom="1134" w:left="1440" w:header="708" w:footer="26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A52A13" w14:textId="77777777" w:rsidR="00902C5D" w:rsidRDefault="00902C5D" w:rsidP="00C85204">
      <w:pPr>
        <w:spacing w:after="0" w:line="240" w:lineRule="auto"/>
      </w:pPr>
      <w:r>
        <w:separator/>
      </w:r>
    </w:p>
  </w:endnote>
  <w:endnote w:type="continuationSeparator" w:id="0">
    <w:p w14:paraId="1746E23A" w14:textId="77777777" w:rsidR="00902C5D" w:rsidRDefault="00902C5D" w:rsidP="00C85204">
      <w:pPr>
        <w:spacing w:after="0" w:line="240" w:lineRule="auto"/>
      </w:pPr>
      <w:r>
        <w:continuationSeparator/>
      </w:r>
    </w:p>
  </w:endnote>
  <w:endnote w:type="continuationNotice" w:id="1">
    <w:p w14:paraId="597424B1" w14:textId="77777777" w:rsidR="00902C5D" w:rsidRDefault="00902C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4"/>
        <w:szCs w:val="24"/>
      </w:rPr>
      <w:id w:val="40722179"/>
      <w:docPartObj>
        <w:docPartGallery w:val="Page Numbers (Bottom of Page)"/>
        <w:docPartUnique/>
      </w:docPartObj>
    </w:sdtPr>
    <w:sdtContent>
      <w:sdt>
        <w:sdtPr>
          <w:rPr>
            <w:sz w:val="24"/>
            <w:szCs w:val="24"/>
          </w:rPr>
          <w:id w:val="-1769616900"/>
          <w:docPartObj>
            <w:docPartGallery w:val="Page Numbers (Top of Page)"/>
            <w:docPartUnique/>
          </w:docPartObj>
        </w:sdtPr>
        <w:sdtContent>
          <w:p w14:paraId="3AA7DD55" w14:textId="1F7C5E35" w:rsidR="00FD6E71" w:rsidRPr="00FD6E71" w:rsidRDefault="00FD6E71">
            <w:pPr>
              <w:pStyle w:val="Footer"/>
              <w:jc w:val="right"/>
              <w:rPr>
                <w:sz w:val="24"/>
                <w:szCs w:val="24"/>
              </w:rPr>
            </w:pPr>
            <w:r w:rsidRPr="00FD6E71">
              <w:rPr>
                <w:sz w:val="24"/>
                <w:szCs w:val="24"/>
              </w:rPr>
              <w:t xml:space="preserve">Page </w:t>
            </w:r>
            <w:r w:rsidRPr="00FD6E71">
              <w:rPr>
                <w:b/>
                <w:bCs/>
                <w:sz w:val="24"/>
                <w:szCs w:val="24"/>
              </w:rPr>
              <w:fldChar w:fldCharType="begin"/>
            </w:r>
            <w:r w:rsidRPr="00FD6E71">
              <w:rPr>
                <w:b/>
                <w:bCs/>
                <w:sz w:val="24"/>
                <w:szCs w:val="24"/>
              </w:rPr>
              <w:instrText xml:space="preserve"> PAGE </w:instrText>
            </w:r>
            <w:r w:rsidRPr="00FD6E71">
              <w:rPr>
                <w:b/>
                <w:bCs/>
                <w:sz w:val="24"/>
                <w:szCs w:val="24"/>
              </w:rPr>
              <w:fldChar w:fldCharType="separate"/>
            </w:r>
            <w:r w:rsidRPr="00FD6E71">
              <w:rPr>
                <w:b/>
                <w:bCs/>
                <w:noProof/>
                <w:sz w:val="24"/>
                <w:szCs w:val="24"/>
              </w:rPr>
              <w:t>2</w:t>
            </w:r>
            <w:r w:rsidRPr="00FD6E71">
              <w:rPr>
                <w:b/>
                <w:bCs/>
                <w:sz w:val="24"/>
                <w:szCs w:val="24"/>
              </w:rPr>
              <w:fldChar w:fldCharType="end"/>
            </w:r>
            <w:r w:rsidRPr="00FD6E71">
              <w:rPr>
                <w:sz w:val="24"/>
                <w:szCs w:val="24"/>
              </w:rPr>
              <w:t xml:space="preserve"> of </w:t>
            </w:r>
            <w:r w:rsidRPr="00FD6E71">
              <w:rPr>
                <w:b/>
                <w:bCs/>
                <w:sz w:val="24"/>
                <w:szCs w:val="24"/>
              </w:rPr>
              <w:fldChar w:fldCharType="begin"/>
            </w:r>
            <w:r w:rsidRPr="00FD6E71">
              <w:rPr>
                <w:b/>
                <w:bCs/>
                <w:sz w:val="24"/>
                <w:szCs w:val="24"/>
              </w:rPr>
              <w:instrText xml:space="preserve"> NUMPAGES  </w:instrText>
            </w:r>
            <w:r w:rsidRPr="00FD6E71">
              <w:rPr>
                <w:b/>
                <w:bCs/>
                <w:sz w:val="24"/>
                <w:szCs w:val="24"/>
              </w:rPr>
              <w:fldChar w:fldCharType="separate"/>
            </w:r>
            <w:r w:rsidRPr="00FD6E71">
              <w:rPr>
                <w:b/>
                <w:bCs/>
                <w:noProof/>
                <w:sz w:val="24"/>
                <w:szCs w:val="24"/>
              </w:rPr>
              <w:t>2</w:t>
            </w:r>
            <w:r w:rsidRPr="00FD6E71">
              <w:rPr>
                <w:b/>
                <w:bCs/>
                <w:sz w:val="24"/>
                <w:szCs w:val="24"/>
              </w:rPr>
              <w:fldChar w:fldCharType="end"/>
            </w:r>
          </w:p>
        </w:sdtContent>
      </w:sdt>
    </w:sdtContent>
  </w:sdt>
  <w:p w14:paraId="0C8B1914" w14:textId="77777777" w:rsidR="00C85204" w:rsidRDefault="00C85204" w:rsidP="00C85204">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0FA50E" w14:textId="77777777" w:rsidR="00902C5D" w:rsidRDefault="00902C5D" w:rsidP="00C85204">
      <w:pPr>
        <w:spacing w:after="0" w:line="240" w:lineRule="auto"/>
      </w:pPr>
      <w:r>
        <w:separator/>
      </w:r>
    </w:p>
  </w:footnote>
  <w:footnote w:type="continuationSeparator" w:id="0">
    <w:p w14:paraId="751495C3" w14:textId="77777777" w:rsidR="00902C5D" w:rsidRDefault="00902C5D" w:rsidP="00C85204">
      <w:pPr>
        <w:spacing w:after="0" w:line="240" w:lineRule="auto"/>
      </w:pPr>
      <w:r>
        <w:continuationSeparator/>
      </w:r>
    </w:p>
  </w:footnote>
  <w:footnote w:type="continuationNotice" w:id="1">
    <w:p w14:paraId="084186F5" w14:textId="77777777" w:rsidR="00902C5D" w:rsidRDefault="00902C5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4428"/>
      <w:gridCol w:w="2659"/>
    </w:tblGrid>
    <w:tr w:rsidR="004B177D" w14:paraId="66690EE8" w14:textId="77777777" w:rsidTr="00620563">
      <w:tc>
        <w:tcPr>
          <w:tcW w:w="2235" w:type="dxa"/>
          <w:hideMark/>
        </w:tcPr>
        <w:p w14:paraId="5DB8DC70" w14:textId="77777777" w:rsidR="004B177D" w:rsidRDefault="004B177D" w:rsidP="004B177D">
          <w:pPr>
            <w:pStyle w:val="Header"/>
            <w:ind w:left="-110"/>
            <w:rPr>
              <w:rFonts w:cstheme="minorHAnsi"/>
            </w:rPr>
          </w:pPr>
          <w:r>
            <w:rPr>
              <w:rFonts w:cstheme="minorHAnsi"/>
              <w:noProof/>
            </w:rPr>
            <w:drawing>
              <wp:inline distT="0" distB="0" distL="0" distR="0" wp14:anchorId="676DD802" wp14:editId="7C04BCFC">
                <wp:extent cx="933450" cy="501650"/>
                <wp:effectExtent l="0" t="0" r="0" b="0"/>
                <wp:docPr id="20" name="Picture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3450" cy="501650"/>
                        </a:xfrm>
                        <a:prstGeom prst="rect">
                          <a:avLst/>
                        </a:prstGeom>
                        <a:noFill/>
                        <a:ln>
                          <a:noFill/>
                        </a:ln>
                      </pic:spPr>
                    </pic:pic>
                  </a:graphicData>
                </a:graphic>
              </wp:inline>
            </w:drawing>
          </w:r>
        </w:p>
      </w:tc>
      <w:tc>
        <w:tcPr>
          <w:tcW w:w="4428" w:type="dxa"/>
          <w:hideMark/>
        </w:tcPr>
        <w:p w14:paraId="17ED9B58" w14:textId="7969B4DC" w:rsidR="004B177D" w:rsidRPr="00FD6E71" w:rsidRDefault="004B177D" w:rsidP="00415470">
          <w:pPr>
            <w:jc w:val="center"/>
            <w:rPr>
              <w:b/>
              <w:bCs/>
              <w:sz w:val="24"/>
              <w:szCs w:val="24"/>
            </w:rPr>
          </w:pPr>
          <w:r w:rsidRPr="00FD6E71">
            <w:rPr>
              <w:rFonts w:eastAsia="Times New Roman" w:cstheme="minorHAnsi"/>
              <w:b/>
              <w:bCs/>
              <w:color w:val="621B40"/>
              <w:sz w:val="24"/>
              <w:szCs w:val="24"/>
            </w:rPr>
            <w:t>AUDIT AND RISK COMMITTEE</w:t>
          </w:r>
        </w:p>
        <w:p w14:paraId="116D2C9A" w14:textId="77777777" w:rsidR="004B177D" w:rsidRDefault="004B177D" w:rsidP="004B177D">
          <w:pPr>
            <w:pStyle w:val="Header"/>
            <w:tabs>
              <w:tab w:val="clear" w:pos="4513"/>
            </w:tabs>
            <w:jc w:val="center"/>
            <w:rPr>
              <w:rFonts w:cstheme="minorHAnsi"/>
            </w:rPr>
          </w:pPr>
        </w:p>
      </w:tc>
      <w:tc>
        <w:tcPr>
          <w:tcW w:w="2659" w:type="dxa"/>
          <w:hideMark/>
        </w:tcPr>
        <w:p w14:paraId="2454DB2D" w14:textId="2FFF9996" w:rsidR="004B177D" w:rsidRPr="00620563" w:rsidRDefault="00DC37F3" w:rsidP="004B177D">
          <w:pPr>
            <w:pStyle w:val="Header"/>
            <w:jc w:val="right"/>
            <w:rPr>
              <w:rFonts w:cstheme="minorHAnsi"/>
              <w:b/>
              <w:bCs/>
            </w:rPr>
          </w:pPr>
          <w:r w:rsidRPr="00620563">
            <w:rPr>
              <w:rFonts w:cstheme="minorHAnsi"/>
              <w:b/>
              <w:bCs/>
              <w:color w:val="621B40"/>
              <w:sz w:val="24"/>
              <w:szCs w:val="24"/>
            </w:rPr>
            <w:t xml:space="preserve">APPROVED BY THE BOARD OF GOVERNORS ON </w:t>
          </w:r>
          <w:r w:rsidR="00F4430B">
            <w:rPr>
              <w:rFonts w:cstheme="minorHAnsi"/>
              <w:b/>
              <w:bCs/>
              <w:color w:val="621B40"/>
              <w:sz w:val="24"/>
              <w:szCs w:val="24"/>
            </w:rPr>
            <w:t>18 October 2024</w:t>
          </w:r>
        </w:p>
      </w:tc>
    </w:tr>
  </w:tbl>
  <w:p w14:paraId="3012C0E3" w14:textId="263516CF" w:rsidR="00C85204" w:rsidRPr="004B177D" w:rsidRDefault="00C85204" w:rsidP="004B17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C822378"/>
    <w:multiLevelType w:val="hybridMultilevel"/>
    <w:tmpl w:val="2D36EC8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474089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formatting="1" w:enforcement="1" w:cryptProviderType="rsaAES" w:cryptAlgorithmClass="hash" w:cryptAlgorithmType="typeAny" w:cryptAlgorithmSid="14" w:cryptSpinCount="100000" w:hash="4fC70rVNlAG65cJMtqURcvaTB017lm5F1XqJ0Oe/caEtLSUuppIO4GQ9nLyutWa5/I4689bHNpTVNCPVluutpg==" w:salt="ZKIPVMeR/6qxBYJqQ0qNt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204"/>
    <w:rsid w:val="00007EE2"/>
    <w:rsid w:val="00042B47"/>
    <w:rsid w:val="0004344B"/>
    <w:rsid w:val="000500E8"/>
    <w:rsid w:val="00082F30"/>
    <w:rsid w:val="00136D8F"/>
    <w:rsid w:val="0014310E"/>
    <w:rsid w:val="00157B6F"/>
    <w:rsid w:val="0017262F"/>
    <w:rsid w:val="00191484"/>
    <w:rsid w:val="001A4AD2"/>
    <w:rsid w:val="001B4FA2"/>
    <w:rsid w:val="00200734"/>
    <w:rsid w:val="002037CB"/>
    <w:rsid w:val="002051F4"/>
    <w:rsid w:val="00211B29"/>
    <w:rsid w:val="00221EFB"/>
    <w:rsid w:val="00296557"/>
    <w:rsid w:val="002B270F"/>
    <w:rsid w:val="002B4FC7"/>
    <w:rsid w:val="002D3E64"/>
    <w:rsid w:val="002D56C8"/>
    <w:rsid w:val="002E0A82"/>
    <w:rsid w:val="002E6449"/>
    <w:rsid w:val="00307248"/>
    <w:rsid w:val="003453CE"/>
    <w:rsid w:val="00382A57"/>
    <w:rsid w:val="00383529"/>
    <w:rsid w:val="00392D69"/>
    <w:rsid w:val="003B0CC0"/>
    <w:rsid w:val="003E445B"/>
    <w:rsid w:val="0040518B"/>
    <w:rsid w:val="00412AD0"/>
    <w:rsid w:val="00415470"/>
    <w:rsid w:val="0042389F"/>
    <w:rsid w:val="00434F7D"/>
    <w:rsid w:val="00460CEC"/>
    <w:rsid w:val="0047128A"/>
    <w:rsid w:val="004A41F4"/>
    <w:rsid w:val="004B177D"/>
    <w:rsid w:val="004B4AE6"/>
    <w:rsid w:val="004C6BAF"/>
    <w:rsid w:val="00507EFB"/>
    <w:rsid w:val="00522134"/>
    <w:rsid w:val="00554969"/>
    <w:rsid w:val="00567B7A"/>
    <w:rsid w:val="00571058"/>
    <w:rsid w:val="00581292"/>
    <w:rsid w:val="005A0B2D"/>
    <w:rsid w:val="005A3957"/>
    <w:rsid w:val="005A7B18"/>
    <w:rsid w:val="005B74F6"/>
    <w:rsid w:val="005C316B"/>
    <w:rsid w:val="00604484"/>
    <w:rsid w:val="006162D7"/>
    <w:rsid w:val="00620563"/>
    <w:rsid w:val="006470F2"/>
    <w:rsid w:val="006624D2"/>
    <w:rsid w:val="006630F0"/>
    <w:rsid w:val="00686F84"/>
    <w:rsid w:val="00687D8A"/>
    <w:rsid w:val="006A51DF"/>
    <w:rsid w:val="006C211A"/>
    <w:rsid w:val="006E0130"/>
    <w:rsid w:val="006E10CA"/>
    <w:rsid w:val="00713293"/>
    <w:rsid w:val="0071454F"/>
    <w:rsid w:val="007213B3"/>
    <w:rsid w:val="007727E8"/>
    <w:rsid w:val="007A5AB0"/>
    <w:rsid w:val="007D7CCB"/>
    <w:rsid w:val="0083318A"/>
    <w:rsid w:val="008A4C3D"/>
    <w:rsid w:val="008D6BC0"/>
    <w:rsid w:val="008E207B"/>
    <w:rsid w:val="00902C5D"/>
    <w:rsid w:val="00905633"/>
    <w:rsid w:val="00916C31"/>
    <w:rsid w:val="00922D38"/>
    <w:rsid w:val="009269E4"/>
    <w:rsid w:val="00944C8E"/>
    <w:rsid w:val="009571B8"/>
    <w:rsid w:val="009750D4"/>
    <w:rsid w:val="00980DB3"/>
    <w:rsid w:val="009E3C8B"/>
    <w:rsid w:val="00A107D2"/>
    <w:rsid w:val="00A144E5"/>
    <w:rsid w:val="00A248CC"/>
    <w:rsid w:val="00A4554D"/>
    <w:rsid w:val="00A60444"/>
    <w:rsid w:val="00A65171"/>
    <w:rsid w:val="00A70539"/>
    <w:rsid w:val="00A759D2"/>
    <w:rsid w:val="00A80747"/>
    <w:rsid w:val="00A94257"/>
    <w:rsid w:val="00B10E39"/>
    <w:rsid w:val="00B224ED"/>
    <w:rsid w:val="00B26FB2"/>
    <w:rsid w:val="00B51FA9"/>
    <w:rsid w:val="00B71A3E"/>
    <w:rsid w:val="00B744DC"/>
    <w:rsid w:val="00B803B3"/>
    <w:rsid w:val="00BB230E"/>
    <w:rsid w:val="00BC211A"/>
    <w:rsid w:val="00C016C9"/>
    <w:rsid w:val="00C21DEA"/>
    <w:rsid w:val="00C83BA5"/>
    <w:rsid w:val="00C85123"/>
    <w:rsid w:val="00C85204"/>
    <w:rsid w:val="00CC11E2"/>
    <w:rsid w:val="00CC3678"/>
    <w:rsid w:val="00D06D17"/>
    <w:rsid w:val="00D26C44"/>
    <w:rsid w:val="00D5081F"/>
    <w:rsid w:val="00D50BD5"/>
    <w:rsid w:val="00D55494"/>
    <w:rsid w:val="00D57693"/>
    <w:rsid w:val="00D70EFB"/>
    <w:rsid w:val="00D76A2D"/>
    <w:rsid w:val="00D821BA"/>
    <w:rsid w:val="00DC37F3"/>
    <w:rsid w:val="00DC4EAE"/>
    <w:rsid w:val="00DF04B3"/>
    <w:rsid w:val="00E26C25"/>
    <w:rsid w:val="00E51BCC"/>
    <w:rsid w:val="00EA6793"/>
    <w:rsid w:val="00EE4C30"/>
    <w:rsid w:val="00EE5FE6"/>
    <w:rsid w:val="00F00FDB"/>
    <w:rsid w:val="00F14BEB"/>
    <w:rsid w:val="00F22459"/>
    <w:rsid w:val="00F4430B"/>
    <w:rsid w:val="00F6485B"/>
    <w:rsid w:val="00F81A7A"/>
    <w:rsid w:val="00FB08A4"/>
    <w:rsid w:val="00FD6E71"/>
    <w:rsid w:val="06720507"/>
    <w:rsid w:val="0AA16C0D"/>
    <w:rsid w:val="1E2A8EAC"/>
    <w:rsid w:val="1F32A322"/>
    <w:rsid w:val="21A1F482"/>
    <w:rsid w:val="21D20A94"/>
    <w:rsid w:val="296131E8"/>
    <w:rsid w:val="30C1DEC4"/>
    <w:rsid w:val="3B7AB37A"/>
    <w:rsid w:val="42FED8B5"/>
    <w:rsid w:val="49BFAAB8"/>
    <w:rsid w:val="512E640D"/>
    <w:rsid w:val="54EE6465"/>
    <w:rsid w:val="5E75927B"/>
    <w:rsid w:val="5E994AED"/>
    <w:rsid w:val="5F2DFBCD"/>
    <w:rsid w:val="66574DE1"/>
    <w:rsid w:val="672B76C6"/>
    <w:rsid w:val="7722463C"/>
    <w:rsid w:val="779337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0BB2F8"/>
  <w15:chartTrackingRefBased/>
  <w15:docId w15:val="{3C92E595-FA0A-4F19-812A-A02E9295D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21 table"/>
    <w:basedOn w:val="TableNormal"/>
    <w:uiPriority w:val="59"/>
    <w:rsid w:val="00C852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852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5204"/>
  </w:style>
  <w:style w:type="paragraph" w:styleId="Footer">
    <w:name w:val="footer"/>
    <w:basedOn w:val="Normal"/>
    <w:link w:val="FooterChar"/>
    <w:uiPriority w:val="99"/>
    <w:unhideWhenUsed/>
    <w:rsid w:val="00C852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5204"/>
  </w:style>
  <w:style w:type="paragraph" w:styleId="Revision">
    <w:name w:val="Revision"/>
    <w:hidden/>
    <w:uiPriority w:val="99"/>
    <w:semiHidden/>
    <w:rsid w:val="002037CB"/>
    <w:pPr>
      <w:spacing w:after="0" w:line="240" w:lineRule="auto"/>
    </w:pPr>
  </w:style>
  <w:style w:type="character" w:styleId="CommentReference">
    <w:name w:val="annotation reference"/>
    <w:basedOn w:val="DefaultParagraphFont"/>
    <w:uiPriority w:val="99"/>
    <w:semiHidden/>
    <w:unhideWhenUsed/>
    <w:rsid w:val="00A60444"/>
    <w:rPr>
      <w:sz w:val="16"/>
      <w:szCs w:val="16"/>
    </w:rPr>
  </w:style>
  <w:style w:type="paragraph" w:styleId="CommentText">
    <w:name w:val="annotation text"/>
    <w:basedOn w:val="Normal"/>
    <w:link w:val="CommentTextChar"/>
    <w:uiPriority w:val="99"/>
    <w:unhideWhenUsed/>
    <w:rsid w:val="00A60444"/>
    <w:pPr>
      <w:spacing w:line="240" w:lineRule="auto"/>
    </w:pPr>
    <w:rPr>
      <w:sz w:val="20"/>
      <w:szCs w:val="20"/>
    </w:rPr>
  </w:style>
  <w:style w:type="character" w:customStyle="1" w:styleId="CommentTextChar">
    <w:name w:val="Comment Text Char"/>
    <w:basedOn w:val="DefaultParagraphFont"/>
    <w:link w:val="CommentText"/>
    <w:uiPriority w:val="99"/>
    <w:rsid w:val="00A60444"/>
    <w:rPr>
      <w:sz w:val="20"/>
      <w:szCs w:val="20"/>
    </w:rPr>
  </w:style>
  <w:style w:type="paragraph" w:styleId="CommentSubject">
    <w:name w:val="annotation subject"/>
    <w:basedOn w:val="CommentText"/>
    <w:next w:val="CommentText"/>
    <w:link w:val="CommentSubjectChar"/>
    <w:uiPriority w:val="99"/>
    <w:semiHidden/>
    <w:unhideWhenUsed/>
    <w:rsid w:val="00A60444"/>
    <w:rPr>
      <w:b/>
      <w:bCs/>
    </w:rPr>
  </w:style>
  <w:style w:type="character" w:customStyle="1" w:styleId="CommentSubjectChar">
    <w:name w:val="Comment Subject Char"/>
    <w:basedOn w:val="CommentTextChar"/>
    <w:link w:val="CommentSubject"/>
    <w:uiPriority w:val="99"/>
    <w:semiHidden/>
    <w:rsid w:val="00A60444"/>
    <w:rPr>
      <w:b/>
      <w:bCs/>
      <w:sz w:val="20"/>
      <w:szCs w:val="20"/>
    </w:rPr>
  </w:style>
  <w:style w:type="paragraph" w:styleId="ListParagraph">
    <w:name w:val="List Paragraph"/>
    <w:basedOn w:val="Normal"/>
    <w:uiPriority w:val="34"/>
    <w:qFormat/>
    <w:rsid w:val="00507EFB"/>
    <w:pPr>
      <w:ind w:left="720"/>
      <w:contextualSpacing/>
    </w:pPr>
  </w:style>
  <w:style w:type="character" w:styleId="Mention">
    <w:name w:val="Mention"/>
    <w:basedOn w:val="DefaultParagraphFont"/>
    <w:uiPriority w:val="99"/>
    <w:unhideWhenUsed/>
    <w:rsid w:val="003453C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documenttasks/documenttasks1.xml><?xml version="1.0" encoding="utf-8"?>
<t:Tasks xmlns:t="http://schemas.microsoft.com/office/tasks/2019/documenttasks" xmlns:oel="http://schemas.microsoft.com/office/2019/extlst">
  <t:Task id="{482657F2-3A6A-42B0-914A-F111E42D53F9}">
    <t:Anchor>
      <t:Comment id="1004370614"/>
    </t:Anchor>
    <t:History>
      <t:Event id="{93E72990-6AC0-4E46-B266-2FA23C124BF3}" time="2024-09-25T08:16:24.881Z">
        <t:Attribution userId="S::spirt@hallam.shu.ac.uk::b9057179-3d97-47a3-b647-bba6cb83443d" userProvider="AD" userName="Thei, Ruth"/>
        <t:Anchor>
          <t:Comment id="1004370614"/>
        </t:Anchor>
        <t:Create/>
      </t:Event>
      <t:Event id="{797676E3-5E13-4BA2-8B65-B928F6FE5132}" time="2024-09-25T08:16:24.881Z">
        <t:Attribution userId="S::spirt@hallam.shu.ac.uk::b9057179-3d97-47a3-b647-bba6cb83443d" userProvider="AD" userName="Thei, Ruth"/>
        <t:Anchor>
          <t:Comment id="1004370614"/>
        </t:Anchor>
        <t:Assign userId="S::unsat@hallam.shu.ac.uk::16c34236-ec9a-4311-8273-b2bb54e6764e" userProvider="AD" userName="Temple, Angela"/>
      </t:Event>
      <t:Event id="{2344A0B8-E1F3-4782-9589-935D3EE27D6D}" time="2024-09-25T08:16:24.881Z">
        <t:Attribution userId="S::spirt@hallam.shu.ac.uk::b9057179-3d97-47a3-b647-bba6cb83443d" userProvider="AD" userName="Thei, Ruth"/>
        <t:Anchor>
          <t:Comment id="1004370614"/>
        </t:Anchor>
        <t:SetTitle title="@Temple, Angela - is there a reason we don’t have provision for Chair’s action in the ToRs? I am sure we have needed this befor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ctivity xmlns="d6a6db84-99ce-4eb8-880e-f25c00382294">New</Activity>
    <Number xmlns="d6a6db84-99ce-4eb8-880e-f25c00382294" xsi:nil="true"/>
    <TaxCatchAll xmlns="83e1c26f-fe0c-40bd-9e3c-9d7a7969df8d" xsi:nil="true"/>
    <DestructionDate xmlns="d6a6db84-99ce-4eb8-880e-f25c00382294" xsi:nil="true"/>
    <Category xmlns="d6a6db84-99ce-4eb8-880e-f25c00382294" xsi:nil="true"/>
    <lcf76f155ced4ddcb4097134ff3c332f xmlns="d6a6db84-99ce-4eb8-880e-f25c00382294">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76A39F6A7FCEE40900593B7854A99F3" ma:contentTypeVersion="26" ma:contentTypeDescription="Create a new document." ma:contentTypeScope="" ma:versionID="a23e295155e38591762bb637d0463188">
  <xsd:schema xmlns:xsd="http://www.w3.org/2001/XMLSchema" xmlns:xs="http://www.w3.org/2001/XMLSchema" xmlns:p="http://schemas.microsoft.com/office/2006/metadata/properties" xmlns:ns2="83e1c26f-fe0c-40bd-9e3c-9d7a7969df8d" xmlns:ns3="d6a6db84-99ce-4eb8-880e-f25c00382294" targetNamespace="http://schemas.microsoft.com/office/2006/metadata/properties" ma:root="true" ma:fieldsID="be8c1f54b3159232560a71515a76bc14" ns2:_="" ns3:_="">
    <xsd:import namespace="83e1c26f-fe0c-40bd-9e3c-9d7a7969df8d"/>
    <xsd:import namespace="d6a6db84-99ce-4eb8-880e-f25c0038229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LengthInSeconds" minOccurs="0"/>
                <xsd:element ref="ns3:MediaServiceOCR" minOccurs="0"/>
                <xsd:element ref="ns3:lcf76f155ced4ddcb4097134ff3c332f" minOccurs="0"/>
                <xsd:element ref="ns2:TaxCatchAll" minOccurs="0"/>
                <xsd:element ref="ns3:MediaServiceLocation" minOccurs="0"/>
                <xsd:element ref="ns3:Number" minOccurs="0"/>
                <xsd:element ref="ns3:Category" minOccurs="0"/>
                <xsd:element ref="ns3:Activity" minOccurs="0"/>
                <xsd:element ref="ns3:MediaServiceObjectDetectorVersions" minOccurs="0"/>
                <xsd:element ref="ns3:MediaServiceSearchProperties" minOccurs="0"/>
                <xsd:element ref="ns3:Destruc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e1c26f-fe0c-40bd-9e3c-9d7a7969df8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3d1906b-5d48-4eb3-b811-4e957e3f82cd}" ma:internalName="TaxCatchAll" ma:showField="CatchAllData" ma:web="83e1c26f-fe0c-40bd-9e3c-9d7a7969df8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6a6db84-99ce-4eb8-880e-f25c0038229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8c43db7-d5b9-4501-acd0-29785274dc30"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Number" ma:index="24" nillable="true" ma:displayName="Template Number" ma:format="Dropdown" ma:internalName="Number" ma:percentage="FALSE">
      <xsd:simpleType>
        <xsd:restriction base="dms:Number"/>
      </xsd:simpleType>
    </xsd:element>
    <xsd:element name="Category" ma:index="25" nillable="true" ma:displayName="Category" ma:description="Type of information " ma:format="Dropdown" ma:internalName="Category">
      <xsd:simpleType>
        <xsd:restriction base="dms:Choice">
          <xsd:enumeration value="Process"/>
          <xsd:enumeration value="Information"/>
          <xsd:enumeration value="Template"/>
        </xsd:restriction>
      </xsd:simpleType>
    </xsd:element>
    <xsd:element name="Activity" ma:index="26" nillable="true" ma:displayName="Activity" ma:default="New" ma:description="Type of administrative activity" ma:internalName="Activity">
      <xsd:simpleType>
        <xsd:restriction base="dms:Text">
          <xsd:maxLength value="255"/>
        </xsd:restrictio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DestructionDate" ma:index="29" nillable="true" ma:displayName="Destruction Date" ma:format="Dropdown" ma:internalName="DestructionDat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AE6706-B510-4244-8055-EE2B2FDC8BDB}">
  <ds:schemaRefs>
    <ds:schemaRef ds:uri="http://schemas.microsoft.com/office/2006/metadata/properties"/>
    <ds:schemaRef ds:uri="http://schemas.microsoft.com/office/infopath/2007/PartnerControls"/>
    <ds:schemaRef ds:uri="d6a6db84-99ce-4eb8-880e-f25c00382294"/>
    <ds:schemaRef ds:uri="83e1c26f-fe0c-40bd-9e3c-9d7a7969df8d"/>
  </ds:schemaRefs>
</ds:datastoreItem>
</file>

<file path=customXml/itemProps2.xml><?xml version="1.0" encoding="utf-8"?>
<ds:datastoreItem xmlns:ds="http://schemas.openxmlformats.org/officeDocument/2006/customXml" ds:itemID="{30D11407-58C6-446D-A278-D895F20FAEE3}">
  <ds:schemaRefs>
    <ds:schemaRef ds:uri="http://schemas.openxmlformats.org/officeDocument/2006/bibliography"/>
  </ds:schemaRefs>
</ds:datastoreItem>
</file>

<file path=customXml/itemProps3.xml><?xml version="1.0" encoding="utf-8"?>
<ds:datastoreItem xmlns:ds="http://schemas.openxmlformats.org/officeDocument/2006/customXml" ds:itemID="{126DE738-9155-470B-9460-74DBCE59DA45}">
  <ds:schemaRefs>
    <ds:schemaRef ds:uri="http://schemas.microsoft.com/sharepoint/v3/contenttype/forms"/>
  </ds:schemaRefs>
</ds:datastoreItem>
</file>

<file path=customXml/itemProps4.xml><?xml version="1.0" encoding="utf-8"?>
<ds:datastoreItem xmlns:ds="http://schemas.openxmlformats.org/officeDocument/2006/customXml" ds:itemID="{9DCB603C-DF0E-4BA7-8FE7-EB89636F53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e1c26f-fe0c-40bd-9e3c-9d7a7969df8d"/>
    <ds:schemaRef ds:uri="d6a6db84-99ce-4eb8-880e-f25c003822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1325</Words>
  <Characters>7559</Characters>
  <Application>Microsoft Office Word</Application>
  <DocSecurity>8</DocSecurity>
  <Lines>62</Lines>
  <Paragraphs>17</Paragraphs>
  <ScaleCrop>false</ScaleCrop>
  <Company/>
  <LinksUpToDate>false</LinksUpToDate>
  <CharactersWithSpaces>8867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Shires, Erin</dc:creator>
  <cp:keywords/>
  <dc:description/>
  <cp:lastModifiedBy>Stallard, Lorraine C</cp:lastModifiedBy>
  <cp:revision>4</cp:revision>
  <dcterms:created xsi:type="dcterms:W3CDTF">2024-11-01T15:04:00Z</dcterms:created>
  <dcterms:modified xsi:type="dcterms:W3CDTF">2024-11-01T15:06:00Z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0x010100A76A39F6A7FCEE40900593B7854A99F3</vt:lpwstr>
  </property>
  <property fmtid="{D5CDD505-2E9C-101B-9397-08002B2CF9AE}" pid="3" name="MediaServiceImageTags">
    <vt:lpwstr/>
  </property>
</Properties>
</file>