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101"/>
        <w:gridCol w:w="1719"/>
      </w:tblGrid>
      <w:tr w:rsidR="00481DC2" w:rsidRPr="008A753B" w14:paraId="01E1B334" w14:textId="77777777" w:rsidTr="00C52620">
        <w:tc>
          <w:tcPr>
            <w:tcW w:w="10065" w:type="dxa"/>
            <w:gridSpan w:val="3"/>
            <w:tcBorders>
              <w:bottom w:val="single" w:sz="4" w:space="0" w:color="auto"/>
            </w:tcBorders>
            <w:shd w:val="clear" w:color="auto" w:fill="auto"/>
          </w:tcPr>
          <w:p w14:paraId="1890B0F7" w14:textId="430AF4CD" w:rsidR="00481DC2" w:rsidRPr="008A753B" w:rsidRDefault="00481DC2" w:rsidP="00C52620">
            <w:pPr>
              <w:spacing w:before="120" w:after="120"/>
              <w:rPr>
                <w:b/>
                <w:bCs/>
                <w:sz w:val="24"/>
                <w:szCs w:val="24"/>
              </w:rPr>
            </w:pPr>
            <w:r>
              <w:rPr>
                <w:b/>
                <w:bCs/>
                <w:sz w:val="24"/>
                <w:szCs w:val="24"/>
              </w:rPr>
              <w:t>CONFIRMED</w:t>
            </w:r>
            <w:r w:rsidRPr="008A753B">
              <w:rPr>
                <w:b/>
                <w:bCs/>
                <w:sz w:val="24"/>
                <w:szCs w:val="24"/>
              </w:rPr>
              <w:t xml:space="preserve"> MINUTES OF THE MEETING HELD ON </w:t>
            </w:r>
            <w:r w:rsidR="00936356">
              <w:rPr>
                <w:b/>
                <w:bCs/>
                <w:sz w:val="24"/>
                <w:szCs w:val="24"/>
              </w:rPr>
              <w:t>5 OCTOBER 2023</w:t>
            </w:r>
          </w:p>
        </w:tc>
      </w:tr>
      <w:tr w:rsidR="00481DC2" w:rsidRPr="008A753B" w14:paraId="21729D4B" w14:textId="77777777" w:rsidTr="00C52620">
        <w:tc>
          <w:tcPr>
            <w:tcW w:w="10065" w:type="dxa"/>
            <w:gridSpan w:val="3"/>
            <w:tcBorders>
              <w:top w:val="single" w:sz="4" w:space="0" w:color="auto"/>
              <w:bottom w:val="single" w:sz="4" w:space="0" w:color="auto"/>
            </w:tcBorders>
          </w:tcPr>
          <w:p w14:paraId="4AA4703C" w14:textId="77777777" w:rsidR="00481DC2" w:rsidRPr="008A753B" w:rsidRDefault="00481DC2" w:rsidP="00C52620">
            <w:pPr>
              <w:pStyle w:val="Heading2"/>
              <w:rPr>
                <w:b w:val="0"/>
              </w:rPr>
            </w:pPr>
            <w:r w:rsidRPr="008A753B">
              <w:t>PRESENT:</w:t>
            </w:r>
          </w:p>
        </w:tc>
      </w:tr>
      <w:tr w:rsidR="00481DC2" w:rsidRPr="008A753B" w14:paraId="5E51C0D1" w14:textId="77777777" w:rsidTr="00C52620">
        <w:tc>
          <w:tcPr>
            <w:tcW w:w="5245" w:type="dxa"/>
            <w:tcBorders>
              <w:top w:val="single" w:sz="4" w:space="0" w:color="auto"/>
            </w:tcBorders>
          </w:tcPr>
          <w:p w14:paraId="45091B84" w14:textId="53FEAA77" w:rsidR="00481DC2" w:rsidRPr="008A753B" w:rsidRDefault="008E43CD" w:rsidP="00C52620">
            <w:pPr>
              <w:spacing w:before="60"/>
              <w:rPr>
                <w:sz w:val="24"/>
                <w:szCs w:val="24"/>
              </w:rPr>
            </w:pPr>
            <w:r>
              <w:rPr>
                <w:sz w:val="24"/>
                <w:szCs w:val="24"/>
              </w:rPr>
              <w:t>Joanna Allen</w:t>
            </w:r>
            <w:r w:rsidR="00481DC2">
              <w:rPr>
                <w:sz w:val="24"/>
                <w:szCs w:val="24"/>
              </w:rPr>
              <w:t xml:space="preserve"> (Chair)</w:t>
            </w:r>
          </w:p>
        </w:tc>
        <w:tc>
          <w:tcPr>
            <w:tcW w:w="4820" w:type="dxa"/>
            <w:gridSpan w:val="2"/>
            <w:tcBorders>
              <w:top w:val="single" w:sz="4" w:space="0" w:color="auto"/>
            </w:tcBorders>
          </w:tcPr>
          <w:p w14:paraId="0971658E" w14:textId="51E20272" w:rsidR="00481DC2" w:rsidRPr="008A753B" w:rsidRDefault="008E43CD" w:rsidP="00C52620">
            <w:pPr>
              <w:spacing w:before="60"/>
              <w:rPr>
                <w:sz w:val="24"/>
                <w:szCs w:val="24"/>
              </w:rPr>
            </w:pPr>
            <w:r w:rsidRPr="008E43CD">
              <w:rPr>
                <w:bCs/>
                <w:sz w:val="24"/>
                <w:szCs w:val="24"/>
              </w:rPr>
              <w:t>Sameer Kothari</w:t>
            </w:r>
            <w:r w:rsidR="002D5931">
              <w:rPr>
                <w:bCs/>
                <w:sz w:val="24"/>
                <w:szCs w:val="24"/>
              </w:rPr>
              <w:t xml:space="preserve"> (to item 7ii inclusive)</w:t>
            </w:r>
          </w:p>
        </w:tc>
      </w:tr>
      <w:tr w:rsidR="00481DC2" w:rsidRPr="008A753B" w14:paraId="1EF4E015" w14:textId="77777777" w:rsidTr="00C52620">
        <w:tc>
          <w:tcPr>
            <w:tcW w:w="5245" w:type="dxa"/>
          </w:tcPr>
          <w:p w14:paraId="015EEFAA" w14:textId="45765055" w:rsidR="00481DC2" w:rsidRPr="008A753B" w:rsidRDefault="008E43CD" w:rsidP="00C52620">
            <w:pPr>
              <w:spacing w:before="60"/>
              <w:rPr>
                <w:sz w:val="24"/>
                <w:szCs w:val="24"/>
              </w:rPr>
            </w:pPr>
            <w:r>
              <w:rPr>
                <w:sz w:val="24"/>
                <w:szCs w:val="24"/>
              </w:rPr>
              <w:t>Ian Hall</w:t>
            </w:r>
          </w:p>
        </w:tc>
        <w:tc>
          <w:tcPr>
            <w:tcW w:w="4820" w:type="dxa"/>
            <w:gridSpan w:val="2"/>
          </w:tcPr>
          <w:p w14:paraId="321D0927" w14:textId="7E8D01AD" w:rsidR="00481DC2" w:rsidRPr="008A753B" w:rsidRDefault="008E43CD" w:rsidP="008E43CD">
            <w:pPr>
              <w:spacing w:before="60"/>
              <w:rPr>
                <w:sz w:val="24"/>
                <w:szCs w:val="24"/>
              </w:rPr>
            </w:pPr>
            <w:r w:rsidRPr="003D24F4">
              <w:rPr>
                <w:bCs/>
              </w:rPr>
              <w:t>Matt Lilley</w:t>
            </w:r>
          </w:p>
        </w:tc>
      </w:tr>
      <w:tr w:rsidR="00936356" w:rsidRPr="008A753B" w14:paraId="64C5AC4E" w14:textId="77777777" w:rsidTr="00C52620">
        <w:tc>
          <w:tcPr>
            <w:tcW w:w="5245" w:type="dxa"/>
          </w:tcPr>
          <w:p w14:paraId="6F5583D4" w14:textId="348203DF" w:rsidR="00936356" w:rsidRDefault="00936356" w:rsidP="00C52620">
            <w:pPr>
              <w:spacing w:before="60"/>
              <w:rPr>
                <w:sz w:val="24"/>
                <w:szCs w:val="24"/>
              </w:rPr>
            </w:pPr>
            <w:r>
              <w:rPr>
                <w:sz w:val="24"/>
                <w:szCs w:val="24"/>
              </w:rPr>
              <w:t>Mohammed Hannan</w:t>
            </w:r>
          </w:p>
        </w:tc>
        <w:tc>
          <w:tcPr>
            <w:tcW w:w="4820" w:type="dxa"/>
            <w:gridSpan w:val="2"/>
          </w:tcPr>
          <w:p w14:paraId="3EAF43B7" w14:textId="6F8DCDFE" w:rsidR="00936356" w:rsidRPr="003D24F4" w:rsidRDefault="00936356" w:rsidP="008E43CD">
            <w:pPr>
              <w:spacing w:before="60"/>
              <w:rPr>
                <w:bCs/>
              </w:rPr>
            </w:pPr>
            <w:r>
              <w:rPr>
                <w:sz w:val="24"/>
                <w:szCs w:val="24"/>
              </w:rPr>
              <w:t>Theresa Spencer</w:t>
            </w:r>
          </w:p>
        </w:tc>
      </w:tr>
      <w:tr w:rsidR="00481DC2" w:rsidRPr="008A753B" w14:paraId="2E963ED0" w14:textId="77777777" w:rsidTr="00C20812">
        <w:tc>
          <w:tcPr>
            <w:tcW w:w="8346" w:type="dxa"/>
            <w:gridSpan w:val="2"/>
            <w:tcBorders>
              <w:top w:val="single" w:sz="4" w:space="0" w:color="auto"/>
              <w:bottom w:val="single" w:sz="4" w:space="0" w:color="auto"/>
            </w:tcBorders>
          </w:tcPr>
          <w:p w14:paraId="33454C7A" w14:textId="77777777" w:rsidR="00481DC2" w:rsidRPr="008A753B" w:rsidRDefault="00481DC2" w:rsidP="00C52620">
            <w:pPr>
              <w:pStyle w:val="Heading2"/>
            </w:pPr>
            <w:r w:rsidRPr="008A753B">
              <w:t>IN ATTE</w:t>
            </w:r>
            <w:r>
              <w:t>N</w:t>
            </w:r>
            <w:r w:rsidRPr="008A753B">
              <w:t>DANCE:</w:t>
            </w:r>
          </w:p>
        </w:tc>
        <w:tc>
          <w:tcPr>
            <w:tcW w:w="1719" w:type="dxa"/>
            <w:tcBorders>
              <w:top w:val="single" w:sz="4" w:space="0" w:color="auto"/>
              <w:bottom w:val="single" w:sz="4" w:space="0" w:color="auto"/>
            </w:tcBorders>
          </w:tcPr>
          <w:p w14:paraId="0493A10E" w14:textId="77777777" w:rsidR="00481DC2" w:rsidRPr="008A753B" w:rsidRDefault="00481DC2" w:rsidP="00C52620">
            <w:pPr>
              <w:pStyle w:val="Heading2"/>
            </w:pPr>
            <w:r w:rsidRPr="008A753B">
              <w:t>AGENDA ITEM</w:t>
            </w:r>
          </w:p>
        </w:tc>
      </w:tr>
      <w:tr w:rsidR="00481DC2" w:rsidRPr="008A753B" w14:paraId="7DBF1935" w14:textId="77777777" w:rsidTr="00C20812">
        <w:tc>
          <w:tcPr>
            <w:tcW w:w="8346" w:type="dxa"/>
            <w:gridSpan w:val="2"/>
          </w:tcPr>
          <w:p w14:paraId="7CA435F5" w14:textId="32B8F81F" w:rsidR="00481DC2" w:rsidRPr="008A753B" w:rsidRDefault="000C1BDF" w:rsidP="008E43CD">
            <w:pPr>
              <w:spacing w:before="60"/>
              <w:rPr>
                <w:sz w:val="24"/>
                <w:szCs w:val="24"/>
              </w:rPr>
            </w:pPr>
            <w:r>
              <w:rPr>
                <w:sz w:val="24"/>
                <w:szCs w:val="24"/>
              </w:rPr>
              <w:t>Richard Calvert, Deputy Vice-Chancellor, Strategy and Operations</w:t>
            </w:r>
            <w:r w:rsidR="00C20812">
              <w:rPr>
                <w:sz w:val="24"/>
                <w:szCs w:val="24"/>
              </w:rPr>
              <w:t xml:space="preserve"> (DVCSO)</w:t>
            </w:r>
          </w:p>
        </w:tc>
        <w:tc>
          <w:tcPr>
            <w:tcW w:w="1719" w:type="dxa"/>
          </w:tcPr>
          <w:p w14:paraId="42B6E6C0" w14:textId="1A65B544" w:rsidR="00481DC2" w:rsidRPr="008A753B" w:rsidRDefault="000C1BDF" w:rsidP="00C52620">
            <w:pPr>
              <w:spacing w:before="60" w:after="60"/>
              <w:rPr>
                <w:sz w:val="24"/>
                <w:szCs w:val="24"/>
              </w:rPr>
            </w:pPr>
            <w:r>
              <w:rPr>
                <w:sz w:val="24"/>
                <w:szCs w:val="24"/>
              </w:rPr>
              <w:t>All except 1</w:t>
            </w:r>
          </w:p>
        </w:tc>
      </w:tr>
      <w:tr w:rsidR="008E43CD" w:rsidRPr="008A753B" w14:paraId="561B9533" w14:textId="77777777" w:rsidTr="00C20812">
        <w:tc>
          <w:tcPr>
            <w:tcW w:w="8346" w:type="dxa"/>
            <w:gridSpan w:val="2"/>
          </w:tcPr>
          <w:p w14:paraId="2DF39EA4" w14:textId="2759E13C" w:rsidR="008E43CD" w:rsidRPr="001B6E03" w:rsidRDefault="00936356" w:rsidP="008E43CD">
            <w:pPr>
              <w:spacing w:before="60"/>
              <w:rPr>
                <w:sz w:val="24"/>
                <w:szCs w:val="24"/>
              </w:rPr>
            </w:pPr>
            <w:r>
              <w:rPr>
                <w:sz w:val="24"/>
                <w:szCs w:val="24"/>
              </w:rPr>
              <w:t>Ben Connor</w:t>
            </w:r>
            <w:r w:rsidR="008E43CD" w:rsidRPr="001B6E03">
              <w:rPr>
                <w:sz w:val="24"/>
                <w:szCs w:val="24"/>
              </w:rPr>
              <w:t>, P</w:t>
            </w:r>
            <w:r w:rsidR="008E43CD">
              <w:rPr>
                <w:sz w:val="24"/>
                <w:szCs w:val="24"/>
              </w:rPr>
              <w:t>w</w:t>
            </w:r>
            <w:r w:rsidR="008E43CD" w:rsidRPr="001B6E03">
              <w:rPr>
                <w:sz w:val="24"/>
                <w:szCs w:val="24"/>
              </w:rPr>
              <w:t>C</w:t>
            </w:r>
          </w:p>
        </w:tc>
        <w:tc>
          <w:tcPr>
            <w:tcW w:w="1719" w:type="dxa"/>
          </w:tcPr>
          <w:p w14:paraId="7619C806" w14:textId="26C6914E" w:rsidR="008E43CD" w:rsidRPr="008A753B" w:rsidRDefault="00775725" w:rsidP="00C52620">
            <w:pPr>
              <w:spacing w:before="60" w:after="60"/>
              <w:rPr>
                <w:sz w:val="24"/>
                <w:szCs w:val="24"/>
              </w:rPr>
            </w:pPr>
            <w:r>
              <w:rPr>
                <w:sz w:val="24"/>
                <w:szCs w:val="24"/>
              </w:rPr>
              <w:t xml:space="preserve">All except </w:t>
            </w:r>
            <w:r w:rsidR="000C1BDF">
              <w:rPr>
                <w:sz w:val="24"/>
                <w:szCs w:val="24"/>
              </w:rPr>
              <w:t>1</w:t>
            </w:r>
          </w:p>
        </w:tc>
      </w:tr>
      <w:tr w:rsidR="000C1BDF" w:rsidRPr="008A753B" w14:paraId="77E52D1F" w14:textId="77777777" w:rsidTr="00C20812">
        <w:tc>
          <w:tcPr>
            <w:tcW w:w="8346" w:type="dxa"/>
            <w:gridSpan w:val="2"/>
          </w:tcPr>
          <w:p w14:paraId="24B33E7A" w14:textId="0C851E9A" w:rsidR="000C1BDF" w:rsidRPr="001B6E03" w:rsidRDefault="000C1BDF" w:rsidP="008E43CD">
            <w:pPr>
              <w:spacing w:before="60"/>
              <w:rPr>
                <w:sz w:val="24"/>
                <w:szCs w:val="24"/>
              </w:rPr>
            </w:pPr>
            <w:r>
              <w:rPr>
                <w:sz w:val="24"/>
                <w:szCs w:val="24"/>
              </w:rPr>
              <w:t xml:space="preserve">Sally Jackson, Chief People </w:t>
            </w:r>
            <w:proofErr w:type="gramStart"/>
            <w:r>
              <w:rPr>
                <w:sz w:val="24"/>
                <w:szCs w:val="24"/>
              </w:rPr>
              <w:t>Officer</w:t>
            </w:r>
            <w:proofErr w:type="gramEnd"/>
            <w:r>
              <w:rPr>
                <w:sz w:val="24"/>
                <w:szCs w:val="24"/>
              </w:rPr>
              <w:t xml:space="preserve"> and Pro Vice-Chancellor (Diversity and Inclusion)</w:t>
            </w:r>
          </w:p>
        </w:tc>
        <w:tc>
          <w:tcPr>
            <w:tcW w:w="1719" w:type="dxa"/>
          </w:tcPr>
          <w:p w14:paraId="0B708D30" w14:textId="69F3C339" w:rsidR="000C1BDF" w:rsidRPr="008A753B" w:rsidRDefault="000C1BDF" w:rsidP="00C52620">
            <w:pPr>
              <w:spacing w:before="60" w:after="60"/>
              <w:rPr>
                <w:sz w:val="24"/>
                <w:szCs w:val="24"/>
              </w:rPr>
            </w:pPr>
            <w:r>
              <w:rPr>
                <w:sz w:val="24"/>
                <w:szCs w:val="24"/>
              </w:rPr>
              <w:t>7</w:t>
            </w:r>
          </w:p>
        </w:tc>
      </w:tr>
      <w:tr w:rsidR="000C1BDF" w:rsidRPr="008A753B" w14:paraId="5AB11CEB" w14:textId="77777777" w:rsidTr="00C20812">
        <w:tc>
          <w:tcPr>
            <w:tcW w:w="8346" w:type="dxa"/>
            <w:gridSpan w:val="2"/>
          </w:tcPr>
          <w:p w14:paraId="3AC32C84" w14:textId="0C6DA612" w:rsidR="000C1BDF" w:rsidRDefault="000C1BDF" w:rsidP="000C1BDF">
            <w:pPr>
              <w:spacing w:before="60"/>
              <w:rPr>
                <w:sz w:val="24"/>
                <w:szCs w:val="24"/>
              </w:rPr>
            </w:pPr>
            <w:r>
              <w:rPr>
                <w:sz w:val="24"/>
                <w:szCs w:val="24"/>
              </w:rPr>
              <w:t>Ryan Keyworth, Chief Finance Officer (CFO)</w:t>
            </w:r>
          </w:p>
        </w:tc>
        <w:tc>
          <w:tcPr>
            <w:tcW w:w="1719" w:type="dxa"/>
          </w:tcPr>
          <w:p w14:paraId="6C8F90C1" w14:textId="6588A554" w:rsidR="000C1BDF" w:rsidRDefault="000C1BDF" w:rsidP="000C1BDF">
            <w:pPr>
              <w:spacing w:before="60" w:after="60"/>
              <w:rPr>
                <w:sz w:val="24"/>
                <w:szCs w:val="24"/>
              </w:rPr>
            </w:pPr>
            <w:r>
              <w:rPr>
                <w:sz w:val="24"/>
                <w:szCs w:val="24"/>
              </w:rPr>
              <w:t>All except 1</w:t>
            </w:r>
          </w:p>
        </w:tc>
      </w:tr>
      <w:tr w:rsidR="000C1BDF" w:rsidRPr="008A753B" w14:paraId="59878C42" w14:textId="77777777" w:rsidTr="00C20812">
        <w:tc>
          <w:tcPr>
            <w:tcW w:w="8346" w:type="dxa"/>
            <w:gridSpan w:val="2"/>
          </w:tcPr>
          <w:p w14:paraId="76FE2A1A" w14:textId="03A56185" w:rsidR="000C1BDF" w:rsidRPr="000C1BDF" w:rsidRDefault="000C1BDF" w:rsidP="000C1BDF">
            <w:pPr>
              <w:spacing w:before="60"/>
              <w:rPr>
                <w:sz w:val="24"/>
                <w:szCs w:val="24"/>
              </w:rPr>
            </w:pPr>
            <w:r w:rsidRPr="000C1BDF">
              <w:rPr>
                <w:sz w:val="24"/>
                <w:szCs w:val="24"/>
              </w:rPr>
              <w:t>Nicola Rawlins, Group Director, Recruitment, Comms and Marketing</w:t>
            </w:r>
          </w:p>
        </w:tc>
        <w:tc>
          <w:tcPr>
            <w:tcW w:w="1719" w:type="dxa"/>
          </w:tcPr>
          <w:p w14:paraId="0FA21EE2" w14:textId="21B28B4F" w:rsidR="000C1BDF" w:rsidRDefault="000C1BDF" w:rsidP="000C1BDF">
            <w:pPr>
              <w:spacing w:before="60" w:after="60"/>
              <w:rPr>
                <w:sz w:val="24"/>
                <w:szCs w:val="24"/>
              </w:rPr>
            </w:pPr>
            <w:r>
              <w:rPr>
                <w:sz w:val="24"/>
                <w:szCs w:val="24"/>
              </w:rPr>
              <w:t>9i</w:t>
            </w:r>
          </w:p>
        </w:tc>
      </w:tr>
      <w:tr w:rsidR="000C1BDF" w:rsidRPr="008A753B" w14:paraId="6BF12894" w14:textId="77777777" w:rsidTr="00C20812">
        <w:tc>
          <w:tcPr>
            <w:tcW w:w="8346" w:type="dxa"/>
            <w:gridSpan w:val="2"/>
          </w:tcPr>
          <w:p w14:paraId="301DC805" w14:textId="1DAE99B9" w:rsidR="000C1BDF" w:rsidRPr="000C1BDF" w:rsidRDefault="000C1BDF" w:rsidP="000C1BDF">
            <w:pPr>
              <w:spacing w:before="60"/>
              <w:rPr>
                <w:sz w:val="24"/>
                <w:szCs w:val="24"/>
              </w:rPr>
            </w:pPr>
            <w:r w:rsidRPr="000C1BDF">
              <w:rPr>
                <w:color w:val="000000" w:themeColor="text1"/>
                <w:sz w:val="24"/>
                <w:szCs w:val="24"/>
              </w:rPr>
              <w:t>Tom Russell</w:t>
            </w:r>
            <w:r>
              <w:rPr>
                <w:color w:val="000000" w:themeColor="text1"/>
                <w:sz w:val="24"/>
                <w:szCs w:val="24"/>
              </w:rPr>
              <w:t>, Head of Strategic Insight and Data</w:t>
            </w:r>
          </w:p>
        </w:tc>
        <w:tc>
          <w:tcPr>
            <w:tcW w:w="1719" w:type="dxa"/>
          </w:tcPr>
          <w:p w14:paraId="018F27A9" w14:textId="4BD96B47" w:rsidR="000C1BDF" w:rsidRDefault="000C1BDF" w:rsidP="000C1BDF">
            <w:pPr>
              <w:spacing w:before="60" w:after="60"/>
              <w:rPr>
                <w:sz w:val="24"/>
                <w:szCs w:val="24"/>
              </w:rPr>
            </w:pPr>
            <w:r>
              <w:rPr>
                <w:sz w:val="24"/>
                <w:szCs w:val="24"/>
              </w:rPr>
              <w:t>13</w:t>
            </w:r>
          </w:p>
        </w:tc>
      </w:tr>
      <w:tr w:rsidR="008E43CD" w:rsidRPr="008A753B" w14:paraId="5A5813F7" w14:textId="77777777" w:rsidTr="00C20812">
        <w:tc>
          <w:tcPr>
            <w:tcW w:w="8346" w:type="dxa"/>
            <w:gridSpan w:val="2"/>
          </w:tcPr>
          <w:p w14:paraId="54501038" w14:textId="40EA1F72" w:rsidR="008E43CD" w:rsidRPr="001B6E03" w:rsidRDefault="00936356" w:rsidP="008E43CD">
            <w:pPr>
              <w:spacing w:before="60"/>
              <w:rPr>
                <w:sz w:val="24"/>
                <w:szCs w:val="24"/>
              </w:rPr>
            </w:pPr>
            <w:r w:rsidRPr="00120A56">
              <w:rPr>
                <w:color w:val="000000" w:themeColor="text1"/>
                <w:sz w:val="24"/>
                <w:szCs w:val="24"/>
              </w:rPr>
              <w:t>Abi Smethurst</w:t>
            </w:r>
            <w:r w:rsidR="008E43CD" w:rsidRPr="001B6E03">
              <w:rPr>
                <w:sz w:val="24"/>
                <w:szCs w:val="24"/>
              </w:rPr>
              <w:t>, Grant Thornton</w:t>
            </w:r>
          </w:p>
        </w:tc>
        <w:tc>
          <w:tcPr>
            <w:tcW w:w="1719" w:type="dxa"/>
          </w:tcPr>
          <w:p w14:paraId="1E8B2005" w14:textId="4E04B256" w:rsidR="008E43CD" w:rsidRPr="008A753B" w:rsidRDefault="00775725" w:rsidP="00C52620">
            <w:pPr>
              <w:spacing w:before="60" w:after="60"/>
              <w:rPr>
                <w:sz w:val="24"/>
                <w:szCs w:val="24"/>
              </w:rPr>
            </w:pPr>
            <w:r>
              <w:rPr>
                <w:sz w:val="24"/>
                <w:szCs w:val="24"/>
              </w:rPr>
              <w:t xml:space="preserve">All except </w:t>
            </w:r>
            <w:r w:rsidR="000C1BDF">
              <w:rPr>
                <w:sz w:val="24"/>
                <w:szCs w:val="24"/>
              </w:rPr>
              <w:t>1</w:t>
            </w:r>
          </w:p>
        </w:tc>
      </w:tr>
      <w:tr w:rsidR="00EA2D43" w:rsidRPr="008A753B" w14:paraId="54321E08" w14:textId="77777777" w:rsidTr="00C20812">
        <w:tc>
          <w:tcPr>
            <w:tcW w:w="8346" w:type="dxa"/>
            <w:gridSpan w:val="2"/>
          </w:tcPr>
          <w:p w14:paraId="09C4D905" w14:textId="53F1ED24" w:rsidR="00EA2D43" w:rsidRPr="00120A56" w:rsidRDefault="00EA2D43" w:rsidP="008E43CD">
            <w:pPr>
              <w:spacing w:before="60"/>
              <w:rPr>
                <w:color w:val="000000" w:themeColor="text1"/>
                <w:sz w:val="24"/>
                <w:szCs w:val="24"/>
              </w:rPr>
            </w:pPr>
            <w:r>
              <w:rPr>
                <w:color w:val="000000" w:themeColor="text1"/>
                <w:sz w:val="24"/>
                <w:szCs w:val="24"/>
              </w:rPr>
              <w:t xml:space="preserve">David Shepherd, </w:t>
            </w:r>
            <w:r>
              <w:rPr>
                <w:sz w:val="24"/>
                <w:szCs w:val="24"/>
              </w:rPr>
              <w:t>Deputy Vice-Chancellor, Academic</w:t>
            </w:r>
            <w:r w:rsidR="00EB78A2">
              <w:rPr>
                <w:sz w:val="24"/>
                <w:szCs w:val="24"/>
              </w:rPr>
              <w:t xml:space="preserve"> (DVCA)</w:t>
            </w:r>
          </w:p>
        </w:tc>
        <w:tc>
          <w:tcPr>
            <w:tcW w:w="1719" w:type="dxa"/>
          </w:tcPr>
          <w:p w14:paraId="5FC6442B" w14:textId="49F830F3" w:rsidR="00EA2D43" w:rsidRDefault="00EA2D43" w:rsidP="00C52620">
            <w:pPr>
              <w:spacing w:before="60" w:after="60"/>
              <w:rPr>
                <w:sz w:val="24"/>
                <w:szCs w:val="24"/>
              </w:rPr>
            </w:pPr>
            <w:r>
              <w:rPr>
                <w:sz w:val="24"/>
                <w:szCs w:val="24"/>
              </w:rPr>
              <w:t>7</w:t>
            </w:r>
          </w:p>
        </w:tc>
      </w:tr>
      <w:tr w:rsidR="008E43CD" w:rsidRPr="008A753B" w14:paraId="12FBABA8" w14:textId="77777777" w:rsidTr="00C20812">
        <w:tc>
          <w:tcPr>
            <w:tcW w:w="8346" w:type="dxa"/>
            <w:gridSpan w:val="2"/>
          </w:tcPr>
          <w:p w14:paraId="33591DC8" w14:textId="5BF50CFE" w:rsidR="008E43CD" w:rsidRPr="001B6E03" w:rsidRDefault="008E43CD" w:rsidP="008E43CD">
            <w:pPr>
              <w:spacing w:before="60"/>
              <w:rPr>
                <w:sz w:val="24"/>
                <w:szCs w:val="24"/>
              </w:rPr>
            </w:pPr>
            <w:r w:rsidRPr="001B6E03">
              <w:rPr>
                <w:sz w:val="24"/>
                <w:szCs w:val="24"/>
              </w:rPr>
              <w:t>Katie Stead, Head of Planning, Risk &amp; Compliance</w:t>
            </w:r>
          </w:p>
        </w:tc>
        <w:tc>
          <w:tcPr>
            <w:tcW w:w="1719" w:type="dxa"/>
          </w:tcPr>
          <w:p w14:paraId="7CD859D8" w14:textId="194D2DFE" w:rsidR="008E43CD" w:rsidRPr="008A753B" w:rsidRDefault="000C1BDF" w:rsidP="00C52620">
            <w:pPr>
              <w:spacing w:before="60" w:after="60"/>
              <w:rPr>
                <w:sz w:val="24"/>
                <w:szCs w:val="24"/>
              </w:rPr>
            </w:pPr>
            <w:r>
              <w:rPr>
                <w:sz w:val="24"/>
                <w:szCs w:val="24"/>
              </w:rPr>
              <w:t>All except 1</w:t>
            </w:r>
          </w:p>
        </w:tc>
      </w:tr>
      <w:tr w:rsidR="00481DC2" w:rsidRPr="008A753B" w14:paraId="14E97CEF" w14:textId="77777777" w:rsidTr="00C20812">
        <w:tc>
          <w:tcPr>
            <w:tcW w:w="8346" w:type="dxa"/>
            <w:gridSpan w:val="2"/>
          </w:tcPr>
          <w:p w14:paraId="2CC84764" w14:textId="63073C72" w:rsidR="00481DC2" w:rsidRPr="008A753B" w:rsidRDefault="006808F5" w:rsidP="00C52620">
            <w:pPr>
              <w:spacing w:before="60" w:after="60"/>
              <w:rPr>
                <w:sz w:val="24"/>
                <w:szCs w:val="24"/>
              </w:rPr>
            </w:pPr>
            <w:r w:rsidRPr="006808F5">
              <w:rPr>
                <w:sz w:val="24"/>
                <w:szCs w:val="24"/>
              </w:rPr>
              <w:t>Angela Temple, Governance Senior Adviser (Committee Secretary)</w:t>
            </w:r>
          </w:p>
        </w:tc>
        <w:tc>
          <w:tcPr>
            <w:tcW w:w="1719" w:type="dxa"/>
          </w:tcPr>
          <w:p w14:paraId="1A67A31E" w14:textId="14D22202" w:rsidR="00481DC2" w:rsidRPr="008A753B" w:rsidRDefault="006808F5" w:rsidP="00C52620">
            <w:pPr>
              <w:spacing w:before="60" w:after="60"/>
              <w:rPr>
                <w:sz w:val="24"/>
                <w:szCs w:val="24"/>
              </w:rPr>
            </w:pPr>
            <w:r>
              <w:rPr>
                <w:sz w:val="24"/>
                <w:szCs w:val="24"/>
              </w:rPr>
              <w:t>All</w:t>
            </w:r>
          </w:p>
        </w:tc>
      </w:tr>
      <w:tr w:rsidR="000C1BDF" w:rsidRPr="008A753B" w14:paraId="52487C65" w14:textId="77777777" w:rsidTr="00C20812">
        <w:tc>
          <w:tcPr>
            <w:tcW w:w="8346" w:type="dxa"/>
            <w:gridSpan w:val="2"/>
          </w:tcPr>
          <w:p w14:paraId="0C37E766" w14:textId="0AA0192B" w:rsidR="000C1BDF" w:rsidRPr="006808F5" w:rsidRDefault="000C1BDF" w:rsidP="00C52620">
            <w:pPr>
              <w:spacing w:before="60" w:after="60"/>
              <w:rPr>
                <w:sz w:val="24"/>
                <w:szCs w:val="24"/>
              </w:rPr>
            </w:pPr>
            <w:r>
              <w:rPr>
                <w:sz w:val="24"/>
                <w:szCs w:val="24"/>
              </w:rPr>
              <w:t>Ruth Thei, Head of Governance and Sector Regulation</w:t>
            </w:r>
          </w:p>
        </w:tc>
        <w:tc>
          <w:tcPr>
            <w:tcW w:w="1719" w:type="dxa"/>
          </w:tcPr>
          <w:p w14:paraId="57B4E881" w14:textId="1C568279" w:rsidR="000C1BDF" w:rsidRDefault="000C1BDF" w:rsidP="00C52620">
            <w:pPr>
              <w:spacing w:before="60" w:after="60"/>
              <w:rPr>
                <w:sz w:val="24"/>
                <w:szCs w:val="24"/>
              </w:rPr>
            </w:pPr>
            <w:r>
              <w:rPr>
                <w:sz w:val="24"/>
                <w:szCs w:val="24"/>
              </w:rPr>
              <w:t>All</w:t>
            </w:r>
          </w:p>
        </w:tc>
      </w:tr>
      <w:tr w:rsidR="00481DC2" w:rsidRPr="008A753B" w14:paraId="4E0D9B43" w14:textId="77777777" w:rsidTr="00C20812">
        <w:tc>
          <w:tcPr>
            <w:tcW w:w="8346" w:type="dxa"/>
            <w:gridSpan w:val="2"/>
          </w:tcPr>
          <w:p w14:paraId="64652A5E" w14:textId="77777777" w:rsidR="00481DC2" w:rsidRPr="008A753B" w:rsidRDefault="00481DC2" w:rsidP="00C52620">
            <w:pPr>
              <w:tabs>
                <w:tab w:val="left" w:pos="5890"/>
              </w:tabs>
              <w:spacing w:before="60" w:after="60"/>
              <w:rPr>
                <w:sz w:val="24"/>
                <w:szCs w:val="24"/>
              </w:rPr>
            </w:pPr>
            <w:r>
              <w:rPr>
                <w:sz w:val="24"/>
                <w:szCs w:val="24"/>
              </w:rPr>
              <w:t>Libby Wilson, Group Director, Infrastructure and Change</w:t>
            </w:r>
          </w:p>
        </w:tc>
        <w:tc>
          <w:tcPr>
            <w:tcW w:w="1719" w:type="dxa"/>
          </w:tcPr>
          <w:p w14:paraId="181739B5" w14:textId="47955446" w:rsidR="00481DC2" w:rsidRPr="008A753B" w:rsidRDefault="000C1BDF" w:rsidP="00C52620">
            <w:pPr>
              <w:spacing w:before="60" w:after="60"/>
              <w:rPr>
                <w:sz w:val="24"/>
                <w:szCs w:val="24"/>
              </w:rPr>
            </w:pPr>
            <w:r>
              <w:rPr>
                <w:sz w:val="24"/>
                <w:szCs w:val="24"/>
              </w:rPr>
              <w:t>7</w:t>
            </w:r>
          </w:p>
        </w:tc>
      </w:tr>
    </w:tbl>
    <w:p w14:paraId="66C533C0" w14:textId="77777777" w:rsidR="00481DC2" w:rsidRPr="008A753B" w:rsidRDefault="00481DC2" w:rsidP="00481DC2">
      <w:pPr>
        <w:spacing w:after="0" w:line="240" w:lineRule="auto"/>
        <w:rPr>
          <w:sz w:val="24"/>
          <w:szCs w:val="24"/>
        </w:rPr>
      </w:pPr>
    </w:p>
    <w:tbl>
      <w:tblPr>
        <w:tblStyle w:val="TableGrid"/>
        <w:tblW w:w="10056"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6"/>
        <w:gridCol w:w="6570"/>
        <w:gridCol w:w="1890"/>
      </w:tblGrid>
      <w:tr w:rsidR="008A753B" w:rsidRPr="008A753B" w14:paraId="126299E9" w14:textId="77777777" w:rsidTr="00FD69CA">
        <w:tc>
          <w:tcPr>
            <w:tcW w:w="1596"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pPr>
            <w:r w:rsidRPr="002D430D">
              <w:t>Minute Ref</w:t>
            </w:r>
          </w:p>
        </w:tc>
        <w:tc>
          <w:tcPr>
            <w:tcW w:w="6570"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pPr>
            <w:r w:rsidRPr="002D430D">
              <w:t>Item of Business</w:t>
            </w:r>
          </w:p>
        </w:tc>
        <w:tc>
          <w:tcPr>
            <w:tcW w:w="1890"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8A753B" w:rsidRPr="008A753B" w14:paraId="1F67B079" w14:textId="77777777" w:rsidTr="00FD69CA">
        <w:tc>
          <w:tcPr>
            <w:tcW w:w="1596" w:type="dxa"/>
            <w:tcBorders>
              <w:top w:val="single" w:sz="4" w:space="0" w:color="auto"/>
              <w:bottom w:val="single" w:sz="4" w:space="0" w:color="auto"/>
            </w:tcBorders>
            <w:shd w:val="clear" w:color="auto" w:fill="D9D9D9" w:themeFill="background1" w:themeFillShade="D9"/>
          </w:tcPr>
          <w:p w14:paraId="5DCDC578" w14:textId="1986AF27" w:rsidR="00022310" w:rsidRPr="00A85DEC" w:rsidRDefault="001B6E03" w:rsidP="00172CB8">
            <w:pPr>
              <w:pStyle w:val="Heading3"/>
              <w:spacing w:before="60" w:after="60"/>
              <w:ind w:left="-106" w:right="-108"/>
              <w:rPr>
                <w:sz w:val="20"/>
                <w:szCs w:val="20"/>
              </w:rPr>
            </w:pPr>
            <w:r>
              <w:t>ARC</w:t>
            </w:r>
            <w:r w:rsidR="000C1BDF">
              <w:t>_</w:t>
            </w:r>
            <w:r>
              <w:t>202</w:t>
            </w:r>
            <w:r w:rsidR="000C1BDF">
              <w:t>3_1</w:t>
            </w:r>
            <w:r>
              <w:t>0</w:t>
            </w:r>
            <w:r w:rsidR="000C1BDF">
              <w:t>_05_</w:t>
            </w:r>
            <w:r w:rsidR="00B97857">
              <w:t>1</w:t>
            </w:r>
          </w:p>
        </w:tc>
        <w:tc>
          <w:tcPr>
            <w:tcW w:w="6570" w:type="dxa"/>
            <w:tcBorders>
              <w:top w:val="single" w:sz="4" w:space="0" w:color="auto"/>
              <w:bottom w:val="single" w:sz="4" w:space="0" w:color="auto"/>
            </w:tcBorders>
            <w:shd w:val="clear" w:color="auto" w:fill="D9D9D9" w:themeFill="background1" w:themeFillShade="D9"/>
          </w:tcPr>
          <w:p w14:paraId="3A1D6C47" w14:textId="7BF7896C" w:rsidR="00022310" w:rsidRPr="008A753B" w:rsidRDefault="00002395" w:rsidP="00172CB8">
            <w:pPr>
              <w:pStyle w:val="Heading2"/>
            </w:pPr>
            <w:r>
              <w:rPr>
                <w:bCs/>
              </w:rPr>
              <w:t>PRIVATE MEETING OF COMMITTEE MEMBERS</w:t>
            </w:r>
          </w:p>
        </w:tc>
        <w:tc>
          <w:tcPr>
            <w:tcW w:w="1890" w:type="dxa"/>
            <w:tcBorders>
              <w:top w:val="single" w:sz="4" w:space="0" w:color="auto"/>
              <w:bottom w:val="single" w:sz="4" w:space="0" w:color="auto"/>
            </w:tcBorders>
            <w:shd w:val="clear" w:color="auto" w:fill="D9D9D9" w:themeFill="background1" w:themeFillShade="D9"/>
          </w:tcPr>
          <w:p w14:paraId="58ED3719" w14:textId="188AC9FC" w:rsidR="00022310" w:rsidRPr="008E1CA3" w:rsidRDefault="00022310" w:rsidP="00E55260">
            <w:pPr>
              <w:spacing w:before="60" w:after="60"/>
              <w:jc w:val="right"/>
              <w:rPr>
                <w:sz w:val="18"/>
                <w:szCs w:val="18"/>
              </w:rPr>
            </w:pPr>
          </w:p>
        </w:tc>
      </w:tr>
      <w:tr w:rsidR="008A753B" w:rsidRPr="008A753B" w14:paraId="42DADC77" w14:textId="77777777" w:rsidTr="00FD69CA">
        <w:tc>
          <w:tcPr>
            <w:tcW w:w="1596" w:type="dxa"/>
            <w:tcBorders>
              <w:top w:val="single" w:sz="4" w:space="0" w:color="auto"/>
              <w:bottom w:val="single" w:sz="4" w:space="0" w:color="auto"/>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460" w:type="dxa"/>
            <w:gridSpan w:val="2"/>
            <w:tcBorders>
              <w:top w:val="single" w:sz="4" w:space="0" w:color="auto"/>
              <w:bottom w:val="single" w:sz="4" w:space="0" w:color="auto"/>
            </w:tcBorders>
          </w:tcPr>
          <w:p w14:paraId="73EC50E1" w14:textId="7CBFC0E0" w:rsidR="00C54F81" w:rsidRDefault="00775725" w:rsidP="00810722">
            <w:pPr>
              <w:spacing w:before="60" w:after="60"/>
              <w:rPr>
                <w:sz w:val="24"/>
                <w:szCs w:val="24"/>
              </w:rPr>
            </w:pPr>
            <w:r>
              <w:rPr>
                <w:sz w:val="24"/>
                <w:szCs w:val="24"/>
              </w:rPr>
              <w:t>All</w:t>
            </w:r>
            <w:r w:rsidR="006808F5" w:rsidRPr="006808F5">
              <w:rPr>
                <w:sz w:val="24"/>
                <w:szCs w:val="24"/>
              </w:rPr>
              <w:t xml:space="preserve"> matters </w:t>
            </w:r>
            <w:r>
              <w:rPr>
                <w:sz w:val="24"/>
                <w:szCs w:val="24"/>
              </w:rPr>
              <w:t>raised in the</w:t>
            </w:r>
            <w:r w:rsidRPr="006808F5">
              <w:rPr>
                <w:sz w:val="24"/>
                <w:szCs w:val="24"/>
              </w:rPr>
              <w:t xml:space="preserve"> private discussion</w:t>
            </w:r>
            <w:r>
              <w:rPr>
                <w:sz w:val="24"/>
                <w:szCs w:val="24"/>
              </w:rPr>
              <w:t xml:space="preserve"> were </w:t>
            </w:r>
            <w:r w:rsidR="006808F5">
              <w:rPr>
                <w:sz w:val="24"/>
                <w:szCs w:val="24"/>
              </w:rPr>
              <w:t xml:space="preserve">covered </w:t>
            </w:r>
            <w:r w:rsidR="00A0778A">
              <w:rPr>
                <w:sz w:val="24"/>
                <w:szCs w:val="24"/>
              </w:rPr>
              <w:t>elsewhere in the meeting</w:t>
            </w:r>
            <w:r w:rsidR="00952EEA">
              <w:rPr>
                <w:sz w:val="24"/>
                <w:szCs w:val="24"/>
              </w:rPr>
              <w:t>, with the exception of the following:</w:t>
            </w:r>
          </w:p>
          <w:p w14:paraId="00B1A8A5" w14:textId="795D905A" w:rsidR="00D66807" w:rsidRPr="00AE23EE" w:rsidRDefault="00AE23EE" w:rsidP="009E7254">
            <w:pPr>
              <w:pStyle w:val="ListParagraph"/>
              <w:numPr>
                <w:ilvl w:val="0"/>
                <w:numId w:val="24"/>
              </w:numPr>
              <w:spacing w:before="60" w:after="60"/>
              <w:rPr>
                <w:sz w:val="24"/>
                <w:szCs w:val="24"/>
              </w:rPr>
            </w:pPr>
            <w:r w:rsidRPr="00AE23EE">
              <w:rPr>
                <w:sz w:val="24"/>
                <w:szCs w:val="24"/>
              </w:rPr>
              <w:t>d</w:t>
            </w:r>
            <w:r w:rsidR="00A45529" w:rsidRPr="00AE23EE">
              <w:rPr>
                <w:sz w:val="24"/>
                <w:szCs w:val="24"/>
              </w:rPr>
              <w:t xml:space="preserve">uring the pre-meeting with PwC the Chair had noted that number of </w:t>
            </w:r>
            <w:r w:rsidR="00D66807" w:rsidRPr="00AE23EE">
              <w:rPr>
                <w:sz w:val="24"/>
                <w:szCs w:val="24"/>
              </w:rPr>
              <w:t>internal</w:t>
            </w:r>
            <w:r w:rsidR="00A45529" w:rsidRPr="00AE23EE">
              <w:rPr>
                <w:sz w:val="24"/>
                <w:szCs w:val="24"/>
              </w:rPr>
              <w:t xml:space="preserve"> audit </w:t>
            </w:r>
            <w:r w:rsidR="00D66807" w:rsidRPr="00AE23EE">
              <w:rPr>
                <w:sz w:val="24"/>
                <w:szCs w:val="24"/>
              </w:rPr>
              <w:t>reports</w:t>
            </w:r>
            <w:r w:rsidR="00A45529" w:rsidRPr="00AE23EE">
              <w:rPr>
                <w:sz w:val="24"/>
                <w:szCs w:val="24"/>
              </w:rPr>
              <w:t xml:space="preserve"> originally scheduled for the meeting have not been provided </w:t>
            </w:r>
            <w:r w:rsidR="00D66807" w:rsidRPr="00AE23EE">
              <w:rPr>
                <w:sz w:val="24"/>
                <w:szCs w:val="24"/>
              </w:rPr>
              <w:t>[</w:t>
            </w:r>
            <w:r w:rsidR="00A45529" w:rsidRPr="00AE23EE">
              <w:rPr>
                <w:sz w:val="24"/>
                <w:szCs w:val="24"/>
              </w:rPr>
              <w:t>reports on cyber (</w:t>
            </w:r>
            <w:r w:rsidRPr="00AE23EE">
              <w:rPr>
                <w:sz w:val="24"/>
                <w:szCs w:val="24"/>
              </w:rPr>
              <w:t xml:space="preserve">already </w:t>
            </w:r>
            <w:r w:rsidR="00A45529" w:rsidRPr="00AE23EE">
              <w:rPr>
                <w:sz w:val="24"/>
                <w:szCs w:val="24"/>
              </w:rPr>
              <w:t>deferred from June 2023), data futures (phase 2), and campus plan and extended campus</w:t>
            </w:r>
            <w:r w:rsidR="00D66807" w:rsidRPr="00AE23EE">
              <w:rPr>
                <w:sz w:val="24"/>
                <w:szCs w:val="24"/>
              </w:rPr>
              <w:t>]</w:t>
            </w:r>
            <w:r w:rsidR="00A45529" w:rsidRPr="00AE23EE">
              <w:rPr>
                <w:sz w:val="24"/>
                <w:szCs w:val="24"/>
              </w:rPr>
              <w:t xml:space="preserve">. </w:t>
            </w:r>
            <w:r w:rsidR="00D66807" w:rsidRPr="00AE23EE">
              <w:rPr>
                <w:sz w:val="24"/>
                <w:szCs w:val="24"/>
              </w:rPr>
              <w:t>The Chair had</w:t>
            </w:r>
            <w:r w:rsidR="00A45529" w:rsidRPr="00AE23EE">
              <w:rPr>
                <w:sz w:val="24"/>
                <w:szCs w:val="24"/>
              </w:rPr>
              <w:t xml:space="preserve"> </w:t>
            </w:r>
            <w:r w:rsidR="00D66807" w:rsidRPr="00AE23EE">
              <w:rPr>
                <w:sz w:val="24"/>
                <w:szCs w:val="24"/>
              </w:rPr>
              <w:t>indicated</w:t>
            </w:r>
            <w:r w:rsidR="00A45529" w:rsidRPr="00AE23EE">
              <w:rPr>
                <w:sz w:val="24"/>
                <w:szCs w:val="24"/>
              </w:rPr>
              <w:t xml:space="preserve"> that it was important to ensure that deferral of </w:t>
            </w:r>
            <w:r w:rsidR="00D66807" w:rsidRPr="00AE23EE">
              <w:rPr>
                <w:sz w:val="24"/>
                <w:szCs w:val="24"/>
              </w:rPr>
              <w:t>internal</w:t>
            </w:r>
            <w:r w:rsidR="00A45529" w:rsidRPr="00AE23EE">
              <w:rPr>
                <w:sz w:val="24"/>
                <w:szCs w:val="24"/>
              </w:rPr>
              <w:t xml:space="preserve"> audit reports</w:t>
            </w:r>
            <w:r w:rsidR="00D66807" w:rsidRPr="00AE23EE">
              <w:rPr>
                <w:sz w:val="24"/>
                <w:szCs w:val="24"/>
              </w:rPr>
              <w:t xml:space="preserve"> was kept to a minimum to ensure balance of business throughout the year.</w:t>
            </w:r>
            <w:r w:rsidRPr="00AE23EE">
              <w:rPr>
                <w:sz w:val="24"/>
                <w:szCs w:val="24"/>
              </w:rPr>
              <w:t xml:space="preserve"> This message was re-iterated during discussion on the Committee’s effectiveness</w:t>
            </w:r>
            <w:r w:rsidR="00BD64CF">
              <w:rPr>
                <w:sz w:val="24"/>
                <w:szCs w:val="24"/>
              </w:rPr>
              <w:t xml:space="preserve"> (ARC_2023_10_05_16.1iv refers)</w:t>
            </w:r>
            <w:r w:rsidRPr="00AE23EE">
              <w:rPr>
                <w:sz w:val="24"/>
                <w:szCs w:val="24"/>
              </w:rPr>
              <w:t>;</w:t>
            </w:r>
          </w:p>
          <w:p w14:paraId="0E3C8584" w14:textId="1E0A8128" w:rsidR="00EA2D43" w:rsidRPr="00AE23EE" w:rsidRDefault="00AE23EE" w:rsidP="00AE23EE">
            <w:pPr>
              <w:pStyle w:val="ListParagraph"/>
              <w:numPr>
                <w:ilvl w:val="0"/>
                <w:numId w:val="24"/>
              </w:numPr>
              <w:spacing w:before="60" w:after="60"/>
              <w:rPr>
                <w:sz w:val="24"/>
                <w:szCs w:val="24"/>
              </w:rPr>
            </w:pPr>
            <w:r>
              <w:rPr>
                <w:sz w:val="24"/>
                <w:szCs w:val="24"/>
              </w:rPr>
              <w:t>a</w:t>
            </w:r>
            <w:r w:rsidR="00A8610F" w:rsidRPr="00AE23EE">
              <w:rPr>
                <w:sz w:val="24"/>
                <w:szCs w:val="24"/>
              </w:rPr>
              <w:t xml:space="preserve"> member noted that the strategic governance framework internal audit </w:t>
            </w:r>
            <w:r w:rsidR="00EA2D43" w:rsidRPr="00AE23EE">
              <w:rPr>
                <w:sz w:val="24"/>
                <w:szCs w:val="24"/>
              </w:rPr>
              <w:t>report</w:t>
            </w:r>
            <w:r w:rsidR="00A8610F" w:rsidRPr="00AE23EE">
              <w:rPr>
                <w:sz w:val="24"/>
                <w:szCs w:val="24"/>
              </w:rPr>
              <w:t xml:space="preserve"> indicated that </w:t>
            </w:r>
            <w:r w:rsidR="00EA2D43" w:rsidRPr="00AE23EE">
              <w:rPr>
                <w:sz w:val="24"/>
                <w:szCs w:val="24"/>
              </w:rPr>
              <w:t>business</w:t>
            </w:r>
            <w:r w:rsidR="00A8610F" w:rsidRPr="00AE23EE">
              <w:rPr>
                <w:sz w:val="24"/>
                <w:szCs w:val="24"/>
              </w:rPr>
              <w:t xml:space="preserve"> was driving strategy execution in a more detailed </w:t>
            </w:r>
            <w:r w:rsidR="00EA2D43" w:rsidRPr="00AE23EE">
              <w:rPr>
                <w:sz w:val="24"/>
                <w:szCs w:val="24"/>
              </w:rPr>
              <w:t xml:space="preserve">robust way and that this crossed over </w:t>
            </w:r>
            <w:r>
              <w:rPr>
                <w:sz w:val="24"/>
                <w:szCs w:val="24"/>
              </w:rPr>
              <w:t>into</w:t>
            </w:r>
            <w:r w:rsidR="00EA2D43" w:rsidRPr="00AE23EE">
              <w:rPr>
                <w:sz w:val="24"/>
                <w:szCs w:val="24"/>
              </w:rPr>
              <w:t xml:space="preserve"> action plans to mitigate risk. It was suggested that it was important to ensure early reporting of the r</w:t>
            </w:r>
            <w:r w:rsidR="00A8610F" w:rsidRPr="00AE23EE">
              <w:rPr>
                <w:sz w:val="24"/>
                <w:szCs w:val="24"/>
              </w:rPr>
              <w:t xml:space="preserve">isk management </w:t>
            </w:r>
            <w:r w:rsidR="00EA2D43" w:rsidRPr="00AE23EE">
              <w:rPr>
                <w:sz w:val="24"/>
                <w:szCs w:val="24"/>
              </w:rPr>
              <w:t>internal audit and it was noted that the internal audit was being undertaken early in the 2023/24 programme of work</w:t>
            </w:r>
            <w:r>
              <w:rPr>
                <w:sz w:val="24"/>
                <w:szCs w:val="24"/>
              </w:rPr>
              <w:t xml:space="preserve"> with the report due to be considered at the March 2024 meeting</w:t>
            </w:r>
            <w:r w:rsidR="00EA2D43" w:rsidRPr="00AE23EE">
              <w:rPr>
                <w:sz w:val="24"/>
                <w:szCs w:val="24"/>
              </w:rPr>
              <w:t>.</w:t>
            </w:r>
          </w:p>
        </w:tc>
      </w:tr>
      <w:tr w:rsidR="003A56C1" w:rsidRPr="008A753B" w14:paraId="4118F7A3" w14:textId="77777777" w:rsidTr="00FD69CA">
        <w:tc>
          <w:tcPr>
            <w:tcW w:w="1596" w:type="dxa"/>
            <w:tcBorders>
              <w:top w:val="single" w:sz="4" w:space="0" w:color="auto"/>
              <w:bottom w:val="single" w:sz="4" w:space="0" w:color="auto"/>
            </w:tcBorders>
            <w:shd w:val="clear" w:color="auto" w:fill="D9D9D9" w:themeFill="background1" w:themeFillShade="D9"/>
          </w:tcPr>
          <w:p w14:paraId="0BDD9977" w14:textId="40D1BF6F" w:rsidR="003A56C1" w:rsidRPr="003A56C1" w:rsidRDefault="000C1BDF" w:rsidP="00172CB8">
            <w:pPr>
              <w:pStyle w:val="Heading3"/>
              <w:spacing w:before="60" w:after="60"/>
              <w:ind w:left="-106" w:right="-108"/>
              <w:rPr>
                <w:sz w:val="20"/>
                <w:szCs w:val="20"/>
              </w:rPr>
            </w:pPr>
            <w:r>
              <w:lastRenderedPageBreak/>
              <w:t>ARC_2023_10_05_</w:t>
            </w:r>
            <w:r w:rsidR="00B97857">
              <w:t>2</w:t>
            </w:r>
          </w:p>
        </w:tc>
        <w:tc>
          <w:tcPr>
            <w:tcW w:w="6570" w:type="dxa"/>
            <w:tcBorders>
              <w:top w:val="single" w:sz="4" w:space="0" w:color="auto"/>
              <w:bottom w:val="single" w:sz="4" w:space="0" w:color="auto"/>
            </w:tcBorders>
            <w:shd w:val="clear" w:color="auto" w:fill="D9D9D9" w:themeFill="background1" w:themeFillShade="D9"/>
          </w:tcPr>
          <w:p w14:paraId="1BF4ED39" w14:textId="3D8DC187" w:rsidR="004A27EA" w:rsidRPr="008A753B" w:rsidRDefault="00862F89" w:rsidP="00172CB8">
            <w:pPr>
              <w:pStyle w:val="Heading2"/>
            </w:pPr>
            <w:r w:rsidRPr="00DF0008">
              <w:rPr>
                <w:bCs/>
              </w:rPr>
              <w:t>DECLARATIONS OF INTEREST</w:t>
            </w:r>
          </w:p>
        </w:tc>
        <w:tc>
          <w:tcPr>
            <w:tcW w:w="1890" w:type="dxa"/>
            <w:tcBorders>
              <w:top w:val="single" w:sz="4" w:space="0" w:color="auto"/>
              <w:bottom w:val="single" w:sz="4" w:space="0" w:color="auto"/>
            </w:tcBorders>
            <w:shd w:val="clear" w:color="auto" w:fill="D9D9D9" w:themeFill="background1" w:themeFillShade="D9"/>
          </w:tcPr>
          <w:p w14:paraId="56B0361E" w14:textId="1F737CA0" w:rsidR="003A56C1" w:rsidRPr="008E1CA3" w:rsidRDefault="003A56C1" w:rsidP="00E55260">
            <w:pPr>
              <w:spacing w:before="60" w:after="60"/>
              <w:jc w:val="right"/>
              <w:rPr>
                <w:sz w:val="18"/>
                <w:szCs w:val="18"/>
              </w:rPr>
            </w:pPr>
          </w:p>
        </w:tc>
      </w:tr>
      <w:tr w:rsidR="008A753B" w:rsidRPr="008A753B" w14:paraId="45E5AE98" w14:textId="77777777" w:rsidTr="00FD69CA">
        <w:tc>
          <w:tcPr>
            <w:tcW w:w="1596" w:type="dxa"/>
            <w:tcBorders>
              <w:top w:val="single" w:sz="4" w:space="0" w:color="auto"/>
              <w:bottom w:val="single" w:sz="4" w:space="0" w:color="auto"/>
            </w:tcBorders>
          </w:tcPr>
          <w:p w14:paraId="37B3F545" w14:textId="1FA503AD" w:rsidR="00392682" w:rsidRPr="008A753B" w:rsidRDefault="00A0778A" w:rsidP="000C3EDD">
            <w:pPr>
              <w:spacing w:before="60" w:after="60"/>
              <w:ind w:left="-106" w:right="-108"/>
              <w:rPr>
                <w:sz w:val="24"/>
                <w:szCs w:val="24"/>
              </w:rPr>
            </w:pPr>
            <w:r>
              <w:rPr>
                <w:sz w:val="24"/>
                <w:szCs w:val="24"/>
              </w:rPr>
              <w:t>2.1</w:t>
            </w:r>
          </w:p>
        </w:tc>
        <w:tc>
          <w:tcPr>
            <w:tcW w:w="8460" w:type="dxa"/>
            <w:gridSpan w:val="2"/>
            <w:tcBorders>
              <w:top w:val="single" w:sz="4" w:space="0" w:color="auto"/>
              <w:bottom w:val="single" w:sz="4" w:space="0" w:color="auto"/>
            </w:tcBorders>
          </w:tcPr>
          <w:p w14:paraId="0DD52B2A" w14:textId="2850B5E2" w:rsidR="00205499" w:rsidRPr="008A753B" w:rsidRDefault="006808F5" w:rsidP="00810722">
            <w:pPr>
              <w:spacing w:before="60" w:after="60"/>
              <w:rPr>
                <w:sz w:val="24"/>
                <w:szCs w:val="24"/>
              </w:rPr>
            </w:pPr>
            <w:r>
              <w:rPr>
                <w:sz w:val="24"/>
                <w:szCs w:val="24"/>
              </w:rPr>
              <w:t>There were no declarations of interest.</w:t>
            </w:r>
          </w:p>
        </w:tc>
      </w:tr>
      <w:tr w:rsidR="00A0778A" w:rsidRPr="008A753B" w14:paraId="6C122021" w14:textId="77777777" w:rsidTr="00FD69CA">
        <w:tc>
          <w:tcPr>
            <w:tcW w:w="1596" w:type="dxa"/>
            <w:tcBorders>
              <w:top w:val="single" w:sz="4" w:space="0" w:color="auto"/>
              <w:bottom w:val="single" w:sz="4" w:space="0" w:color="auto"/>
            </w:tcBorders>
            <w:shd w:val="clear" w:color="auto" w:fill="D9D9D9" w:themeFill="background1" w:themeFillShade="D9"/>
          </w:tcPr>
          <w:p w14:paraId="40C0021D" w14:textId="16A94B80" w:rsidR="00A0778A" w:rsidRPr="000C3EDD" w:rsidRDefault="000C1BDF" w:rsidP="00C52620">
            <w:pPr>
              <w:pStyle w:val="Heading3"/>
              <w:spacing w:before="60" w:after="60"/>
              <w:ind w:left="-106" w:right="-108"/>
            </w:pPr>
            <w:r>
              <w:t>ARC_2023_10_05_</w:t>
            </w:r>
            <w:r w:rsidR="00B97857">
              <w:t>3</w:t>
            </w:r>
          </w:p>
        </w:tc>
        <w:tc>
          <w:tcPr>
            <w:tcW w:w="6570" w:type="dxa"/>
            <w:tcBorders>
              <w:top w:val="single" w:sz="4" w:space="0" w:color="auto"/>
              <w:bottom w:val="single" w:sz="4" w:space="0" w:color="auto"/>
            </w:tcBorders>
            <w:shd w:val="clear" w:color="auto" w:fill="D9D9D9" w:themeFill="background1" w:themeFillShade="D9"/>
          </w:tcPr>
          <w:p w14:paraId="211DFA2A" w14:textId="51729799" w:rsidR="00A0778A" w:rsidRPr="008A753B" w:rsidRDefault="00A0778A" w:rsidP="00C52620">
            <w:pPr>
              <w:pStyle w:val="Heading2"/>
            </w:pPr>
            <w:r w:rsidRPr="00DF0008">
              <w:rPr>
                <w:bCs/>
              </w:rPr>
              <w:t>CHAIR’S BUSINESS</w:t>
            </w:r>
          </w:p>
        </w:tc>
        <w:tc>
          <w:tcPr>
            <w:tcW w:w="1890" w:type="dxa"/>
            <w:tcBorders>
              <w:top w:val="single" w:sz="4" w:space="0" w:color="auto"/>
              <w:bottom w:val="single" w:sz="4" w:space="0" w:color="auto"/>
            </w:tcBorders>
            <w:shd w:val="clear" w:color="auto" w:fill="D9D9D9" w:themeFill="background1" w:themeFillShade="D9"/>
          </w:tcPr>
          <w:p w14:paraId="1612D8C1" w14:textId="741A0196" w:rsidR="00A0778A" w:rsidRPr="00627D42" w:rsidRDefault="00A0778A" w:rsidP="00C52620">
            <w:pPr>
              <w:pStyle w:val="Heading3"/>
              <w:spacing w:before="60" w:after="60"/>
              <w:ind w:left="-113" w:right="-109"/>
              <w:jc w:val="right"/>
              <w:rPr>
                <w:szCs w:val="18"/>
              </w:rPr>
            </w:pPr>
          </w:p>
        </w:tc>
      </w:tr>
      <w:tr w:rsidR="00A0778A" w:rsidRPr="008A753B" w14:paraId="126660AB" w14:textId="77777777" w:rsidTr="00FD69CA">
        <w:tc>
          <w:tcPr>
            <w:tcW w:w="1596" w:type="dxa"/>
            <w:tcBorders>
              <w:top w:val="single" w:sz="4" w:space="0" w:color="auto"/>
              <w:bottom w:val="single" w:sz="4" w:space="0" w:color="auto"/>
            </w:tcBorders>
          </w:tcPr>
          <w:p w14:paraId="0E677ECA" w14:textId="6D8EE775" w:rsidR="00A0778A" w:rsidRPr="008A753B" w:rsidRDefault="00B97857" w:rsidP="00C52620">
            <w:pPr>
              <w:spacing w:before="60" w:after="60"/>
              <w:ind w:left="-106" w:right="-108"/>
              <w:rPr>
                <w:sz w:val="24"/>
                <w:szCs w:val="24"/>
              </w:rPr>
            </w:pPr>
            <w:r>
              <w:rPr>
                <w:sz w:val="24"/>
                <w:szCs w:val="24"/>
              </w:rPr>
              <w:t>3</w:t>
            </w:r>
            <w:r w:rsidR="00A0778A">
              <w:rPr>
                <w:sz w:val="24"/>
                <w:szCs w:val="24"/>
              </w:rPr>
              <w:t>.1</w:t>
            </w:r>
          </w:p>
        </w:tc>
        <w:tc>
          <w:tcPr>
            <w:tcW w:w="8460" w:type="dxa"/>
            <w:gridSpan w:val="2"/>
            <w:tcBorders>
              <w:top w:val="single" w:sz="4" w:space="0" w:color="auto"/>
              <w:bottom w:val="single" w:sz="4" w:space="0" w:color="auto"/>
            </w:tcBorders>
          </w:tcPr>
          <w:p w14:paraId="3377B4F8" w14:textId="4E91E7F5" w:rsidR="00A0778A" w:rsidRPr="008A753B" w:rsidRDefault="00EA2D43" w:rsidP="00EA2D43">
            <w:pPr>
              <w:spacing w:before="60" w:after="60"/>
              <w:rPr>
                <w:sz w:val="24"/>
                <w:szCs w:val="24"/>
              </w:rPr>
            </w:pPr>
            <w:r>
              <w:rPr>
                <w:color w:val="000000" w:themeColor="text1"/>
                <w:sz w:val="24"/>
                <w:szCs w:val="24"/>
              </w:rPr>
              <w:t xml:space="preserve">The </w:t>
            </w:r>
            <w:r w:rsidR="00AE23EE">
              <w:rPr>
                <w:color w:val="000000" w:themeColor="text1"/>
                <w:sz w:val="24"/>
                <w:szCs w:val="24"/>
              </w:rPr>
              <w:t>C</w:t>
            </w:r>
            <w:r>
              <w:rPr>
                <w:color w:val="000000" w:themeColor="text1"/>
                <w:sz w:val="24"/>
                <w:szCs w:val="24"/>
              </w:rPr>
              <w:t xml:space="preserve">hair welcomed </w:t>
            </w:r>
            <w:r w:rsidRPr="00EA2D43">
              <w:rPr>
                <w:color w:val="000000" w:themeColor="text1"/>
                <w:sz w:val="24"/>
                <w:szCs w:val="24"/>
              </w:rPr>
              <w:t xml:space="preserve">Mohammed Hannan </w:t>
            </w:r>
            <w:r w:rsidRPr="007E7CB5">
              <w:rPr>
                <w:color w:val="000000" w:themeColor="text1"/>
                <w:sz w:val="24"/>
                <w:szCs w:val="24"/>
              </w:rPr>
              <w:t xml:space="preserve">to his first meeting of the Committee. </w:t>
            </w:r>
            <w:r>
              <w:rPr>
                <w:color w:val="000000" w:themeColor="text1"/>
                <w:sz w:val="24"/>
                <w:szCs w:val="24"/>
              </w:rPr>
              <w:t xml:space="preserve">It was noted that </w:t>
            </w:r>
            <w:r w:rsidRPr="007E7CB5">
              <w:rPr>
                <w:color w:val="000000" w:themeColor="text1"/>
                <w:sz w:val="24"/>
                <w:szCs w:val="24"/>
              </w:rPr>
              <w:t xml:space="preserve">Mohammed </w:t>
            </w:r>
            <w:r>
              <w:rPr>
                <w:color w:val="000000" w:themeColor="text1"/>
                <w:sz w:val="24"/>
                <w:szCs w:val="24"/>
              </w:rPr>
              <w:t xml:space="preserve">had </w:t>
            </w:r>
            <w:r w:rsidRPr="007E7CB5">
              <w:rPr>
                <w:color w:val="000000" w:themeColor="text1"/>
                <w:sz w:val="24"/>
                <w:szCs w:val="24"/>
              </w:rPr>
              <w:t xml:space="preserve">joined the Committee as an external co-opted member at </w:t>
            </w:r>
            <w:r>
              <w:rPr>
                <w:color w:val="000000" w:themeColor="text1"/>
                <w:sz w:val="24"/>
                <w:szCs w:val="24"/>
              </w:rPr>
              <w:t>7 February</w:t>
            </w:r>
            <w:r w:rsidRPr="007E7CB5">
              <w:rPr>
                <w:color w:val="000000" w:themeColor="text1"/>
                <w:sz w:val="24"/>
                <w:szCs w:val="24"/>
              </w:rPr>
              <w:t xml:space="preserve"> 2023</w:t>
            </w:r>
            <w:r>
              <w:rPr>
                <w:color w:val="000000" w:themeColor="text1"/>
                <w:sz w:val="24"/>
                <w:szCs w:val="24"/>
              </w:rPr>
              <w:t>. It was noted that t</w:t>
            </w:r>
            <w:r>
              <w:rPr>
                <w:color w:val="000000"/>
                <w:sz w:val="24"/>
                <w:szCs w:val="24"/>
              </w:rPr>
              <w:t>he two new external co-opted members,</w:t>
            </w:r>
            <w:r>
              <w:rPr>
                <w:sz w:val="24"/>
                <w:szCs w:val="24"/>
              </w:rPr>
              <w:t xml:space="preserve"> Theresa </w:t>
            </w:r>
            <w:proofErr w:type="gramStart"/>
            <w:r>
              <w:rPr>
                <w:sz w:val="24"/>
                <w:szCs w:val="24"/>
              </w:rPr>
              <w:t>Spencer</w:t>
            </w:r>
            <w:proofErr w:type="gramEnd"/>
            <w:r>
              <w:rPr>
                <w:sz w:val="24"/>
                <w:szCs w:val="24"/>
              </w:rPr>
              <w:t xml:space="preserve"> and Mohammed, had been allocated buddies on the Committee (Matt Lilley and Ian Hall</w:t>
            </w:r>
            <w:r>
              <w:rPr>
                <w:color w:val="000000"/>
                <w:sz w:val="24"/>
                <w:szCs w:val="24"/>
              </w:rPr>
              <w:t xml:space="preserve"> respectively).</w:t>
            </w:r>
          </w:p>
        </w:tc>
      </w:tr>
      <w:tr w:rsidR="00534114" w:rsidRPr="008A753B" w14:paraId="242B26DF" w14:textId="77777777" w:rsidTr="00FD69CA">
        <w:tc>
          <w:tcPr>
            <w:tcW w:w="1596" w:type="dxa"/>
            <w:tcBorders>
              <w:top w:val="single" w:sz="4" w:space="0" w:color="auto"/>
              <w:bottom w:val="single" w:sz="4" w:space="0" w:color="auto"/>
            </w:tcBorders>
          </w:tcPr>
          <w:p w14:paraId="2C2FF3DB" w14:textId="5FBEDF7F" w:rsidR="00534114" w:rsidRDefault="00534114" w:rsidP="00C52620">
            <w:pPr>
              <w:spacing w:before="60" w:after="60"/>
              <w:ind w:left="-106" w:right="-108"/>
              <w:rPr>
                <w:sz w:val="24"/>
                <w:szCs w:val="24"/>
              </w:rPr>
            </w:pPr>
            <w:r>
              <w:rPr>
                <w:sz w:val="24"/>
                <w:szCs w:val="24"/>
              </w:rPr>
              <w:t>3.2</w:t>
            </w:r>
          </w:p>
        </w:tc>
        <w:tc>
          <w:tcPr>
            <w:tcW w:w="8460" w:type="dxa"/>
            <w:gridSpan w:val="2"/>
            <w:tcBorders>
              <w:top w:val="single" w:sz="4" w:space="0" w:color="auto"/>
              <w:bottom w:val="single" w:sz="4" w:space="0" w:color="auto"/>
            </w:tcBorders>
          </w:tcPr>
          <w:p w14:paraId="46AADE9E" w14:textId="7A52CBD9" w:rsidR="00534114" w:rsidRDefault="00534114" w:rsidP="00EA2D43">
            <w:pPr>
              <w:spacing w:before="60" w:after="60"/>
              <w:rPr>
                <w:color w:val="000000" w:themeColor="text1"/>
                <w:sz w:val="24"/>
                <w:szCs w:val="24"/>
              </w:rPr>
            </w:pPr>
            <w:r>
              <w:rPr>
                <w:color w:val="000000" w:themeColor="text1"/>
                <w:sz w:val="24"/>
                <w:szCs w:val="24"/>
              </w:rPr>
              <w:t>In addition to the internal audit reports that had been deferred (ARC_2023_10_05_1.1i refers), the Committee noted that the Waivers of Financial Regulations bi-annual report had been deferred pending further work by the Finance Directorate to review reporting on this area to the Committee.</w:t>
            </w:r>
          </w:p>
        </w:tc>
      </w:tr>
      <w:tr w:rsidR="00A0778A" w:rsidRPr="008A753B" w14:paraId="43C51DB2" w14:textId="77777777" w:rsidTr="00FD69CA">
        <w:tc>
          <w:tcPr>
            <w:tcW w:w="1596" w:type="dxa"/>
            <w:tcBorders>
              <w:top w:val="single" w:sz="4" w:space="0" w:color="auto"/>
              <w:bottom w:val="single" w:sz="4" w:space="0" w:color="auto"/>
            </w:tcBorders>
            <w:shd w:val="clear" w:color="auto" w:fill="D9D9D9" w:themeFill="background1" w:themeFillShade="D9"/>
          </w:tcPr>
          <w:p w14:paraId="0CA0B45E" w14:textId="573171EC" w:rsidR="00A0778A" w:rsidRPr="00826269" w:rsidRDefault="000C1BDF" w:rsidP="00C52620">
            <w:pPr>
              <w:pStyle w:val="Heading3"/>
              <w:spacing w:before="60" w:after="60"/>
              <w:ind w:left="-106" w:right="-108"/>
              <w:rPr>
                <w:sz w:val="20"/>
                <w:szCs w:val="20"/>
              </w:rPr>
            </w:pPr>
            <w:r>
              <w:t>ARC_2023_10_05_</w:t>
            </w:r>
            <w:r w:rsidR="00B97857">
              <w:t>4</w:t>
            </w:r>
          </w:p>
        </w:tc>
        <w:tc>
          <w:tcPr>
            <w:tcW w:w="6570" w:type="dxa"/>
            <w:tcBorders>
              <w:top w:val="single" w:sz="4" w:space="0" w:color="auto"/>
              <w:bottom w:val="single" w:sz="4" w:space="0" w:color="auto"/>
            </w:tcBorders>
            <w:shd w:val="clear" w:color="auto" w:fill="D9D9D9" w:themeFill="background1" w:themeFillShade="D9"/>
          </w:tcPr>
          <w:p w14:paraId="0C343F50" w14:textId="77777777" w:rsidR="00A0778A" w:rsidRPr="008A753B" w:rsidRDefault="00A0778A" w:rsidP="00C52620">
            <w:pPr>
              <w:pStyle w:val="Heading2"/>
            </w:pPr>
            <w:r w:rsidRPr="00DF0008">
              <w:rPr>
                <w:bCs/>
              </w:rPr>
              <w:t>MINUTES OF THE PREVIOUS MEETING</w:t>
            </w:r>
          </w:p>
        </w:tc>
        <w:tc>
          <w:tcPr>
            <w:tcW w:w="1890" w:type="dxa"/>
            <w:tcBorders>
              <w:top w:val="single" w:sz="4" w:space="0" w:color="auto"/>
              <w:bottom w:val="single" w:sz="4" w:space="0" w:color="auto"/>
            </w:tcBorders>
            <w:shd w:val="clear" w:color="auto" w:fill="D9D9D9" w:themeFill="background1" w:themeFillShade="D9"/>
          </w:tcPr>
          <w:p w14:paraId="4B6D8647" w14:textId="5BA960D6" w:rsidR="00A0778A" w:rsidRPr="00CC16EB" w:rsidRDefault="00B97857" w:rsidP="00036B39">
            <w:pPr>
              <w:jc w:val="right"/>
            </w:pPr>
            <w:r w:rsidRPr="006D6471">
              <w:rPr>
                <w:color w:val="000000" w:themeColor="text1"/>
                <w:sz w:val="18"/>
                <w:szCs w:val="18"/>
              </w:rPr>
              <w:t>ARC</w:t>
            </w:r>
            <w:r>
              <w:rPr>
                <w:color w:val="000000" w:themeColor="text1"/>
                <w:sz w:val="18"/>
                <w:szCs w:val="18"/>
              </w:rPr>
              <w:t>_</w:t>
            </w:r>
            <w:r w:rsidRPr="006D6471">
              <w:rPr>
                <w:color w:val="000000" w:themeColor="text1"/>
                <w:sz w:val="18"/>
                <w:szCs w:val="18"/>
              </w:rPr>
              <w:t>202</w:t>
            </w:r>
            <w:r>
              <w:rPr>
                <w:color w:val="000000" w:themeColor="text1"/>
                <w:sz w:val="18"/>
                <w:szCs w:val="18"/>
              </w:rPr>
              <w:t>3_1</w:t>
            </w:r>
            <w:r w:rsidRPr="006D6471">
              <w:rPr>
                <w:color w:val="000000" w:themeColor="text1"/>
                <w:sz w:val="18"/>
                <w:szCs w:val="18"/>
              </w:rPr>
              <w:t>0</w:t>
            </w:r>
            <w:r>
              <w:rPr>
                <w:color w:val="000000" w:themeColor="text1"/>
                <w:sz w:val="18"/>
                <w:szCs w:val="18"/>
              </w:rPr>
              <w:t>_05_P4</w:t>
            </w:r>
          </w:p>
        </w:tc>
      </w:tr>
      <w:tr w:rsidR="00A0778A" w:rsidRPr="008A753B" w14:paraId="5C316020" w14:textId="77777777" w:rsidTr="00FD69CA">
        <w:tc>
          <w:tcPr>
            <w:tcW w:w="1596" w:type="dxa"/>
            <w:tcBorders>
              <w:top w:val="single" w:sz="4" w:space="0" w:color="auto"/>
              <w:bottom w:val="single" w:sz="4" w:space="0" w:color="auto"/>
            </w:tcBorders>
          </w:tcPr>
          <w:p w14:paraId="7C110F93" w14:textId="24206E4C" w:rsidR="00A0778A" w:rsidRPr="008A753B" w:rsidRDefault="00B97857" w:rsidP="00C52620">
            <w:pPr>
              <w:spacing w:before="60" w:after="60"/>
              <w:ind w:left="-106" w:right="-108"/>
              <w:rPr>
                <w:sz w:val="24"/>
                <w:szCs w:val="24"/>
              </w:rPr>
            </w:pPr>
            <w:r>
              <w:rPr>
                <w:sz w:val="24"/>
                <w:szCs w:val="24"/>
              </w:rPr>
              <w:t>4</w:t>
            </w:r>
            <w:r w:rsidR="00036B39">
              <w:rPr>
                <w:sz w:val="24"/>
                <w:szCs w:val="24"/>
              </w:rPr>
              <w:t>.1</w:t>
            </w:r>
          </w:p>
        </w:tc>
        <w:tc>
          <w:tcPr>
            <w:tcW w:w="8460" w:type="dxa"/>
            <w:gridSpan w:val="2"/>
            <w:tcBorders>
              <w:top w:val="single" w:sz="4" w:space="0" w:color="auto"/>
              <w:bottom w:val="single" w:sz="4" w:space="0" w:color="auto"/>
            </w:tcBorders>
          </w:tcPr>
          <w:p w14:paraId="358F7968" w14:textId="6346B6CE" w:rsidR="00A0778A" w:rsidRPr="008A753B" w:rsidRDefault="00B97857" w:rsidP="00C52620">
            <w:pPr>
              <w:spacing w:before="60" w:after="60"/>
              <w:rPr>
                <w:sz w:val="24"/>
                <w:szCs w:val="24"/>
              </w:rPr>
            </w:pPr>
            <w:r w:rsidRPr="00A26A10">
              <w:rPr>
                <w:sz w:val="24"/>
                <w:szCs w:val="24"/>
              </w:rPr>
              <w:t xml:space="preserve">The Committee </w:t>
            </w:r>
            <w:r w:rsidRPr="002E560D">
              <w:rPr>
                <w:b/>
                <w:bCs/>
                <w:sz w:val="24"/>
                <w:szCs w:val="24"/>
              </w:rPr>
              <w:t>approved</w:t>
            </w:r>
            <w:r w:rsidRPr="00A26A10">
              <w:rPr>
                <w:sz w:val="24"/>
                <w:szCs w:val="24"/>
              </w:rPr>
              <w:t xml:space="preserve"> the minutes (including the confidential minutes) of the meeting held on </w:t>
            </w:r>
            <w:r>
              <w:rPr>
                <w:sz w:val="24"/>
                <w:szCs w:val="24"/>
              </w:rPr>
              <w:t>2</w:t>
            </w:r>
            <w:r w:rsidR="00236E49">
              <w:rPr>
                <w:sz w:val="24"/>
                <w:szCs w:val="24"/>
              </w:rPr>
              <w:t>2</w:t>
            </w:r>
            <w:r>
              <w:rPr>
                <w:sz w:val="24"/>
                <w:szCs w:val="24"/>
              </w:rPr>
              <w:t xml:space="preserve"> June </w:t>
            </w:r>
            <w:r w:rsidRPr="00A26A10">
              <w:rPr>
                <w:sz w:val="24"/>
                <w:szCs w:val="24"/>
              </w:rPr>
              <w:t>202</w:t>
            </w:r>
            <w:r>
              <w:rPr>
                <w:sz w:val="24"/>
                <w:szCs w:val="24"/>
              </w:rPr>
              <w:t>3</w:t>
            </w:r>
            <w:r w:rsidRPr="00A26A10">
              <w:rPr>
                <w:sz w:val="24"/>
                <w:szCs w:val="24"/>
              </w:rPr>
              <w:t xml:space="preserve"> as an accurate record.</w:t>
            </w:r>
          </w:p>
        </w:tc>
      </w:tr>
      <w:tr w:rsidR="00CC16EB" w:rsidRPr="008A753B" w14:paraId="4DA018E2" w14:textId="77777777" w:rsidTr="00FD69CA">
        <w:tc>
          <w:tcPr>
            <w:tcW w:w="1596" w:type="dxa"/>
            <w:tcBorders>
              <w:top w:val="single" w:sz="4" w:space="0" w:color="auto"/>
              <w:bottom w:val="single" w:sz="4" w:space="0" w:color="auto"/>
            </w:tcBorders>
            <w:shd w:val="clear" w:color="auto" w:fill="D9D9D9" w:themeFill="background1" w:themeFillShade="D9"/>
          </w:tcPr>
          <w:p w14:paraId="0383EAA7" w14:textId="6AB3E011" w:rsidR="00CC16EB" w:rsidRPr="000C3EDD" w:rsidRDefault="000C1BDF" w:rsidP="00172CB8">
            <w:pPr>
              <w:pStyle w:val="Heading3"/>
              <w:spacing w:before="60" w:after="60"/>
              <w:ind w:left="-106" w:right="-108"/>
            </w:pPr>
            <w:r>
              <w:t>ARC_2023_10_05_</w:t>
            </w:r>
            <w:r w:rsidR="00236E49">
              <w:t>5</w:t>
            </w:r>
          </w:p>
        </w:tc>
        <w:tc>
          <w:tcPr>
            <w:tcW w:w="6570" w:type="dxa"/>
            <w:tcBorders>
              <w:top w:val="single" w:sz="4" w:space="0" w:color="auto"/>
              <w:bottom w:val="single" w:sz="4" w:space="0" w:color="auto"/>
            </w:tcBorders>
            <w:shd w:val="clear" w:color="auto" w:fill="D9D9D9" w:themeFill="background1" w:themeFillShade="D9"/>
          </w:tcPr>
          <w:p w14:paraId="4C619881" w14:textId="48188104" w:rsidR="00CC16EB" w:rsidRPr="008A753B" w:rsidRDefault="002379AB" w:rsidP="00172CB8">
            <w:pPr>
              <w:pStyle w:val="Heading2"/>
            </w:pPr>
            <w:r w:rsidRPr="00DF0008">
              <w:rPr>
                <w:bCs/>
              </w:rPr>
              <w:t>MATTERS ARISING</w:t>
            </w:r>
          </w:p>
        </w:tc>
        <w:tc>
          <w:tcPr>
            <w:tcW w:w="1890" w:type="dxa"/>
            <w:tcBorders>
              <w:top w:val="single" w:sz="4" w:space="0" w:color="auto"/>
              <w:bottom w:val="single" w:sz="4" w:space="0" w:color="auto"/>
            </w:tcBorders>
            <w:shd w:val="clear" w:color="auto" w:fill="D9D9D9" w:themeFill="background1" w:themeFillShade="D9"/>
          </w:tcPr>
          <w:p w14:paraId="29376811" w14:textId="7EB43EA7" w:rsidR="00CC16EB" w:rsidRPr="00627D42" w:rsidRDefault="00236E49" w:rsidP="00E55260">
            <w:pPr>
              <w:pStyle w:val="Heading3"/>
              <w:spacing w:before="60" w:after="60"/>
              <w:ind w:left="-113" w:right="-109"/>
              <w:jc w:val="right"/>
              <w:rPr>
                <w:szCs w:val="18"/>
              </w:rPr>
            </w:pPr>
            <w:r w:rsidRPr="006D6471">
              <w:rPr>
                <w:szCs w:val="18"/>
              </w:rPr>
              <w:t>ARC</w:t>
            </w:r>
            <w:r>
              <w:rPr>
                <w:szCs w:val="18"/>
              </w:rPr>
              <w:t>_</w:t>
            </w:r>
            <w:r w:rsidRPr="006D6471">
              <w:rPr>
                <w:szCs w:val="18"/>
              </w:rPr>
              <w:t>202</w:t>
            </w:r>
            <w:r>
              <w:rPr>
                <w:szCs w:val="18"/>
              </w:rPr>
              <w:t>3_1</w:t>
            </w:r>
            <w:r w:rsidRPr="006D6471">
              <w:rPr>
                <w:szCs w:val="18"/>
              </w:rPr>
              <w:t>0</w:t>
            </w:r>
            <w:r>
              <w:rPr>
                <w:szCs w:val="18"/>
              </w:rPr>
              <w:t>_05_P5</w:t>
            </w:r>
          </w:p>
        </w:tc>
      </w:tr>
      <w:tr w:rsidR="00CC16EB" w:rsidRPr="008A753B" w14:paraId="797CE87F" w14:textId="77777777" w:rsidTr="00FD69CA">
        <w:tc>
          <w:tcPr>
            <w:tcW w:w="1596" w:type="dxa"/>
            <w:tcBorders>
              <w:top w:val="single" w:sz="4" w:space="0" w:color="auto"/>
              <w:bottom w:val="single" w:sz="4" w:space="0" w:color="auto"/>
            </w:tcBorders>
          </w:tcPr>
          <w:p w14:paraId="11E78599" w14:textId="2B0FE661" w:rsidR="00CC16EB" w:rsidRPr="008A753B" w:rsidRDefault="00236E49" w:rsidP="00F203BF">
            <w:pPr>
              <w:spacing w:before="60" w:after="60"/>
              <w:ind w:left="-106" w:right="-108"/>
              <w:jc w:val="both"/>
              <w:rPr>
                <w:sz w:val="24"/>
                <w:szCs w:val="24"/>
              </w:rPr>
            </w:pPr>
            <w:r>
              <w:rPr>
                <w:sz w:val="24"/>
                <w:szCs w:val="24"/>
              </w:rPr>
              <w:t>5</w:t>
            </w:r>
            <w:r w:rsidR="009253EA">
              <w:rPr>
                <w:sz w:val="24"/>
                <w:szCs w:val="24"/>
              </w:rPr>
              <w:t>.1</w:t>
            </w:r>
          </w:p>
        </w:tc>
        <w:tc>
          <w:tcPr>
            <w:tcW w:w="8460" w:type="dxa"/>
            <w:gridSpan w:val="2"/>
            <w:tcBorders>
              <w:top w:val="single" w:sz="4" w:space="0" w:color="auto"/>
              <w:bottom w:val="single" w:sz="4" w:space="0" w:color="auto"/>
            </w:tcBorders>
          </w:tcPr>
          <w:p w14:paraId="79FCFCD8" w14:textId="5AD21BB7" w:rsidR="00CC16EB" w:rsidRPr="00236E49" w:rsidRDefault="00236E49" w:rsidP="00F203BF">
            <w:pPr>
              <w:tabs>
                <w:tab w:val="left" w:pos="720"/>
                <w:tab w:val="right" w:pos="9000"/>
              </w:tabs>
              <w:rPr>
                <w:sz w:val="24"/>
                <w:szCs w:val="24"/>
              </w:rPr>
            </w:pPr>
            <w:r w:rsidRPr="00236E49">
              <w:rPr>
                <w:rFonts w:cstheme="minorHAnsi"/>
                <w:sz w:val="24"/>
                <w:szCs w:val="24"/>
              </w:rPr>
              <w:t>There were no matters arising.</w:t>
            </w:r>
          </w:p>
        </w:tc>
      </w:tr>
      <w:tr w:rsidR="00CC16EB" w:rsidRPr="00D803CC" w14:paraId="7C0DF7A8" w14:textId="77777777" w:rsidTr="00FD69CA">
        <w:tc>
          <w:tcPr>
            <w:tcW w:w="1596" w:type="dxa"/>
            <w:tcBorders>
              <w:top w:val="single" w:sz="4" w:space="0" w:color="auto"/>
              <w:bottom w:val="single" w:sz="4" w:space="0" w:color="auto"/>
            </w:tcBorders>
            <w:shd w:val="clear" w:color="auto" w:fill="D9D9D9" w:themeFill="background1" w:themeFillShade="D9"/>
          </w:tcPr>
          <w:p w14:paraId="2609B1C6" w14:textId="080719CE" w:rsidR="00CC16EB" w:rsidRPr="00E0367A" w:rsidRDefault="000C1BDF" w:rsidP="00172CB8">
            <w:pPr>
              <w:pStyle w:val="Heading3"/>
              <w:spacing w:before="60" w:after="60"/>
              <w:ind w:left="-106" w:right="-108"/>
              <w:rPr>
                <w:sz w:val="20"/>
                <w:szCs w:val="20"/>
              </w:rPr>
            </w:pPr>
            <w:r>
              <w:t>ARC_2023_10_05_</w:t>
            </w:r>
            <w:r w:rsidR="00236E49">
              <w:t>6</w:t>
            </w:r>
          </w:p>
        </w:tc>
        <w:tc>
          <w:tcPr>
            <w:tcW w:w="6570" w:type="dxa"/>
            <w:tcBorders>
              <w:top w:val="single" w:sz="4" w:space="0" w:color="auto"/>
              <w:bottom w:val="single" w:sz="4" w:space="0" w:color="auto"/>
            </w:tcBorders>
            <w:shd w:val="clear" w:color="auto" w:fill="D9D9D9" w:themeFill="background1" w:themeFillShade="D9"/>
          </w:tcPr>
          <w:p w14:paraId="5A706618" w14:textId="6CE88B21" w:rsidR="00CC16EB" w:rsidRPr="00A85DEC" w:rsidRDefault="002379AB" w:rsidP="00172CB8">
            <w:pPr>
              <w:pStyle w:val="Heading2"/>
            </w:pPr>
            <w:r>
              <w:rPr>
                <w:bCs/>
              </w:rPr>
              <w:t>APPOINTMENT OF DEPUTY CHAIR</w:t>
            </w:r>
          </w:p>
        </w:tc>
        <w:tc>
          <w:tcPr>
            <w:tcW w:w="1890" w:type="dxa"/>
            <w:tcBorders>
              <w:top w:val="single" w:sz="4" w:space="0" w:color="auto"/>
              <w:bottom w:val="single" w:sz="4" w:space="0" w:color="auto"/>
            </w:tcBorders>
            <w:shd w:val="clear" w:color="auto" w:fill="D9D9D9" w:themeFill="background1" w:themeFillShade="D9"/>
          </w:tcPr>
          <w:p w14:paraId="250997B6" w14:textId="1790DF57" w:rsidR="00CC16EB" w:rsidRPr="00D803CC" w:rsidRDefault="00CC16EB" w:rsidP="00E55260">
            <w:pPr>
              <w:spacing w:before="60" w:after="60"/>
              <w:ind w:right="-109"/>
              <w:jc w:val="right"/>
              <w:rPr>
                <w:sz w:val="18"/>
                <w:szCs w:val="18"/>
              </w:rPr>
            </w:pPr>
          </w:p>
        </w:tc>
      </w:tr>
      <w:tr w:rsidR="00CC16EB" w:rsidRPr="008A753B" w14:paraId="2C5F0C52" w14:textId="77777777" w:rsidTr="00FD69CA">
        <w:tc>
          <w:tcPr>
            <w:tcW w:w="1596" w:type="dxa"/>
            <w:tcBorders>
              <w:top w:val="single" w:sz="4" w:space="0" w:color="auto"/>
              <w:bottom w:val="single" w:sz="4" w:space="0" w:color="auto"/>
            </w:tcBorders>
          </w:tcPr>
          <w:p w14:paraId="1193468A" w14:textId="24C5AC8C" w:rsidR="00CC16EB" w:rsidRPr="008A753B" w:rsidRDefault="00236E49" w:rsidP="000C3EDD">
            <w:pPr>
              <w:spacing w:before="60" w:after="60"/>
              <w:ind w:left="-106" w:right="-108"/>
              <w:rPr>
                <w:sz w:val="24"/>
                <w:szCs w:val="24"/>
              </w:rPr>
            </w:pPr>
            <w:r>
              <w:rPr>
                <w:sz w:val="24"/>
                <w:szCs w:val="24"/>
              </w:rPr>
              <w:t>6</w:t>
            </w:r>
            <w:r w:rsidR="00F203BF">
              <w:rPr>
                <w:sz w:val="24"/>
                <w:szCs w:val="24"/>
              </w:rPr>
              <w:t>.1</w:t>
            </w:r>
          </w:p>
        </w:tc>
        <w:tc>
          <w:tcPr>
            <w:tcW w:w="8460" w:type="dxa"/>
            <w:gridSpan w:val="2"/>
            <w:tcBorders>
              <w:top w:val="single" w:sz="4" w:space="0" w:color="auto"/>
              <w:bottom w:val="single" w:sz="4" w:space="0" w:color="auto"/>
            </w:tcBorders>
          </w:tcPr>
          <w:p w14:paraId="5A05D23B" w14:textId="26363B6A" w:rsidR="00CC16EB" w:rsidRPr="008A753B" w:rsidRDefault="00F203BF" w:rsidP="00CC16EB">
            <w:pPr>
              <w:spacing w:before="60" w:after="60"/>
              <w:rPr>
                <w:sz w:val="24"/>
                <w:szCs w:val="24"/>
              </w:rPr>
            </w:pPr>
            <w:r>
              <w:rPr>
                <w:sz w:val="24"/>
                <w:szCs w:val="24"/>
              </w:rPr>
              <w:t xml:space="preserve">It was </w:t>
            </w:r>
            <w:r w:rsidRPr="00D07667">
              <w:rPr>
                <w:b/>
                <w:bCs/>
                <w:sz w:val="24"/>
                <w:szCs w:val="24"/>
              </w:rPr>
              <w:t>agreed</w:t>
            </w:r>
            <w:r>
              <w:rPr>
                <w:sz w:val="24"/>
                <w:szCs w:val="24"/>
              </w:rPr>
              <w:t xml:space="preserve"> that Ian Hall and Matt Lilley would</w:t>
            </w:r>
            <w:r w:rsidR="003A7497">
              <w:rPr>
                <w:sz w:val="24"/>
                <w:szCs w:val="24"/>
              </w:rPr>
              <w:t xml:space="preserve"> jointly</w:t>
            </w:r>
            <w:r>
              <w:rPr>
                <w:sz w:val="24"/>
                <w:szCs w:val="24"/>
              </w:rPr>
              <w:t xml:space="preserve"> undertake the role </w:t>
            </w:r>
            <w:r w:rsidR="00D07667">
              <w:rPr>
                <w:sz w:val="24"/>
                <w:szCs w:val="24"/>
              </w:rPr>
              <w:t>of Deputy Chair</w:t>
            </w:r>
            <w:r w:rsidR="00236E49">
              <w:rPr>
                <w:sz w:val="24"/>
                <w:szCs w:val="24"/>
              </w:rPr>
              <w:t xml:space="preserve"> until 31 July 2024</w:t>
            </w:r>
            <w:r w:rsidR="00D07667">
              <w:rPr>
                <w:sz w:val="24"/>
                <w:szCs w:val="24"/>
              </w:rPr>
              <w:t>.</w:t>
            </w:r>
            <w:r>
              <w:rPr>
                <w:sz w:val="24"/>
                <w:szCs w:val="24"/>
              </w:rPr>
              <w:t xml:space="preserve"> </w:t>
            </w:r>
          </w:p>
        </w:tc>
      </w:tr>
      <w:tr w:rsidR="00AE23EE" w:rsidRPr="008A753B" w14:paraId="787946DE" w14:textId="77777777" w:rsidTr="00FD69CA">
        <w:tc>
          <w:tcPr>
            <w:tcW w:w="1596" w:type="dxa"/>
            <w:tcBorders>
              <w:top w:val="single" w:sz="4" w:space="0" w:color="auto"/>
              <w:bottom w:val="single" w:sz="4" w:space="0" w:color="auto"/>
            </w:tcBorders>
            <w:shd w:val="clear" w:color="auto" w:fill="D9D9D9" w:themeFill="background1" w:themeFillShade="D9"/>
          </w:tcPr>
          <w:p w14:paraId="01CE06A9" w14:textId="77777777" w:rsidR="00AE23EE" w:rsidRDefault="00AE23EE" w:rsidP="00DE7476">
            <w:pPr>
              <w:pStyle w:val="Heading3"/>
              <w:spacing w:before="60" w:after="60"/>
              <w:ind w:left="-106" w:right="-108"/>
            </w:pPr>
            <w:r>
              <w:t>ARC_2023_10_05_7</w:t>
            </w:r>
          </w:p>
        </w:tc>
        <w:tc>
          <w:tcPr>
            <w:tcW w:w="6570" w:type="dxa"/>
            <w:tcBorders>
              <w:top w:val="single" w:sz="4" w:space="0" w:color="auto"/>
              <w:bottom w:val="single" w:sz="4" w:space="0" w:color="auto"/>
            </w:tcBorders>
            <w:shd w:val="clear" w:color="auto" w:fill="D9D9D9" w:themeFill="background1" w:themeFillShade="D9"/>
          </w:tcPr>
          <w:p w14:paraId="57E22FED" w14:textId="77777777" w:rsidR="00AE23EE" w:rsidRPr="008A753B" w:rsidRDefault="00AE23EE" w:rsidP="00DE7476">
            <w:pPr>
              <w:pStyle w:val="Heading2"/>
            </w:pPr>
            <w:r w:rsidRPr="002379AB">
              <w:t>CORPORATE RISK UPDATE</w:t>
            </w:r>
          </w:p>
        </w:tc>
        <w:tc>
          <w:tcPr>
            <w:tcW w:w="1890" w:type="dxa"/>
            <w:tcBorders>
              <w:top w:val="single" w:sz="4" w:space="0" w:color="auto"/>
              <w:bottom w:val="single" w:sz="4" w:space="0" w:color="auto"/>
            </w:tcBorders>
            <w:shd w:val="clear" w:color="auto" w:fill="D9D9D9" w:themeFill="background1" w:themeFillShade="D9"/>
          </w:tcPr>
          <w:p w14:paraId="1B556939" w14:textId="77777777" w:rsidR="00AE23EE" w:rsidRDefault="00AE23EE" w:rsidP="00DE7476">
            <w:pPr>
              <w:spacing w:before="60" w:after="60"/>
              <w:ind w:left="-72"/>
              <w:jc w:val="right"/>
              <w:rPr>
                <w:color w:val="000000" w:themeColor="text1"/>
                <w:sz w:val="18"/>
                <w:szCs w:val="18"/>
              </w:rPr>
            </w:pPr>
            <w:r w:rsidRPr="006D6471">
              <w:rPr>
                <w:color w:val="000000" w:themeColor="text1"/>
                <w:sz w:val="18"/>
                <w:szCs w:val="18"/>
              </w:rPr>
              <w:t>ARC</w:t>
            </w:r>
            <w:r>
              <w:rPr>
                <w:color w:val="000000" w:themeColor="text1"/>
                <w:sz w:val="18"/>
                <w:szCs w:val="18"/>
              </w:rPr>
              <w:t>_</w:t>
            </w:r>
            <w:r w:rsidRPr="006D6471">
              <w:rPr>
                <w:color w:val="000000" w:themeColor="text1"/>
                <w:sz w:val="18"/>
                <w:szCs w:val="18"/>
              </w:rPr>
              <w:t>202</w:t>
            </w:r>
            <w:r>
              <w:rPr>
                <w:color w:val="000000" w:themeColor="text1"/>
                <w:sz w:val="18"/>
                <w:szCs w:val="18"/>
              </w:rPr>
              <w:t>3_1</w:t>
            </w:r>
            <w:r w:rsidRPr="006D6471">
              <w:rPr>
                <w:color w:val="000000" w:themeColor="text1"/>
                <w:sz w:val="18"/>
                <w:szCs w:val="18"/>
              </w:rPr>
              <w:t>0</w:t>
            </w:r>
            <w:r>
              <w:rPr>
                <w:color w:val="000000" w:themeColor="text1"/>
                <w:sz w:val="18"/>
                <w:szCs w:val="18"/>
              </w:rPr>
              <w:t>_05_P7i</w:t>
            </w:r>
          </w:p>
          <w:p w14:paraId="36B27D2F" w14:textId="77777777" w:rsidR="00AE23EE" w:rsidRPr="00D076A6" w:rsidRDefault="00AE23EE" w:rsidP="00DE7476">
            <w:pPr>
              <w:pStyle w:val="Heading3"/>
              <w:spacing w:before="60" w:after="60"/>
              <w:ind w:left="-113" w:right="-110"/>
              <w:jc w:val="right"/>
            </w:pPr>
            <w:r>
              <w:rPr>
                <w:szCs w:val="18"/>
              </w:rPr>
              <w:t>CONFIDENTIAL</w:t>
            </w:r>
          </w:p>
        </w:tc>
      </w:tr>
      <w:tr w:rsidR="00AE23EE" w:rsidRPr="008A753B" w14:paraId="6F431E1C" w14:textId="77777777" w:rsidTr="00FD69CA">
        <w:tc>
          <w:tcPr>
            <w:tcW w:w="1596" w:type="dxa"/>
            <w:tcBorders>
              <w:top w:val="single" w:sz="4" w:space="0" w:color="auto"/>
              <w:bottom w:val="single" w:sz="4" w:space="0" w:color="auto"/>
            </w:tcBorders>
            <w:shd w:val="clear" w:color="auto" w:fill="auto"/>
          </w:tcPr>
          <w:p w14:paraId="5FA0A7D6" w14:textId="77777777" w:rsidR="00AE23EE" w:rsidRPr="00641ABF" w:rsidRDefault="00AE23EE" w:rsidP="00DE7476">
            <w:pPr>
              <w:pStyle w:val="Heading3"/>
              <w:spacing w:before="60" w:after="60"/>
              <w:ind w:left="-106" w:right="-108"/>
              <w:rPr>
                <w:sz w:val="24"/>
              </w:rPr>
            </w:pPr>
            <w:r>
              <w:rPr>
                <w:sz w:val="24"/>
              </w:rPr>
              <w:t>7</w:t>
            </w:r>
            <w:r w:rsidRPr="00641ABF">
              <w:rPr>
                <w:sz w:val="24"/>
              </w:rPr>
              <w:t>.1</w:t>
            </w:r>
          </w:p>
        </w:tc>
        <w:tc>
          <w:tcPr>
            <w:tcW w:w="8460" w:type="dxa"/>
            <w:gridSpan w:val="2"/>
            <w:tcBorders>
              <w:top w:val="single" w:sz="4" w:space="0" w:color="auto"/>
              <w:bottom w:val="single" w:sz="4" w:space="0" w:color="auto"/>
            </w:tcBorders>
            <w:shd w:val="clear" w:color="auto" w:fill="auto"/>
          </w:tcPr>
          <w:p w14:paraId="315399E1" w14:textId="77777777" w:rsidR="00AE23EE" w:rsidRPr="00F203BF" w:rsidRDefault="00AE23EE" w:rsidP="00DE7476">
            <w:pPr>
              <w:pStyle w:val="Heading3"/>
              <w:spacing w:before="60" w:after="60"/>
              <w:ind w:right="-110"/>
              <w:rPr>
                <w:sz w:val="24"/>
              </w:rPr>
            </w:pPr>
            <w:r w:rsidRPr="00641ABF">
              <w:rPr>
                <w:sz w:val="24"/>
              </w:rPr>
              <w:t>The Committee considered the report.</w:t>
            </w:r>
          </w:p>
        </w:tc>
      </w:tr>
      <w:tr w:rsidR="00AE23EE" w:rsidRPr="008A753B" w14:paraId="61E86AB7" w14:textId="77777777" w:rsidTr="00FD69CA">
        <w:tc>
          <w:tcPr>
            <w:tcW w:w="1596" w:type="dxa"/>
            <w:tcBorders>
              <w:top w:val="single" w:sz="4" w:space="0" w:color="auto"/>
              <w:bottom w:val="single" w:sz="4" w:space="0" w:color="auto"/>
            </w:tcBorders>
          </w:tcPr>
          <w:p w14:paraId="49C94744" w14:textId="3FF01586" w:rsidR="00AE23EE" w:rsidRDefault="00AE23EE" w:rsidP="000C3EDD">
            <w:pPr>
              <w:spacing w:before="60" w:after="60"/>
              <w:ind w:left="-106" w:right="-108"/>
              <w:rPr>
                <w:sz w:val="24"/>
                <w:szCs w:val="24"/>
              </w:rPr>
            </w:pPr>
            <w:r>
              <w:rPr>
                <w:sz w:val="24"/>
                <w:szCs w:val="24"/>
              </w:rPr>
              <w:t>7.2</w:t>
            </w:r>
          </w:p>
        </w:tc>
        <w:tc>
          <w:tcPr>
            <w:tcW w:w="8460" w:type="dxa"/>
            <w:gridSpan w:val="2"/>
            <w:tcBorders>
              <w:top w:val="single" w:sz="4" w:space="0" w:color="auto"/>
              <w:bottom w:val="single" w:sz="4" w:space="0" w:color="auto"/>
            </w:tcBorders>
          </w:tcPr>
          <w:p w14:paraId="7D755AA1" w14:textId="77777777" w:rsidR="00AE23EE" w:rsidRPr="00641ABF" w:rsidRDefault="00AE23EE" w:rsidP="00AE23EE">
            <w:pPr>
              <w:tabs>
                <w:tab w:val="left" w:pos="34"/>
                <w:tab w:val="right" w:pos="8348"/>
                <w:tab w:val="right" w:pos="9360"/>
              </w:tabs>
              <w:rPr>
                <w:rFonts w:ascii="Calibri" w:eastAsia="Calibri" w:hAnsi="Calibri" w:cs="Calibri"/>
                <w:color w:val="000000" w:themeColor="text1"/>
                <w:sz w:val="24"/>
                <w:szCs w:val="24"/>
              </w:rPr>
            </w:pPr>
            <w:r w:rsidRPr="00641ABF">
              <w:rPr>
                <w:rFonts w:ascii="Calibri" w:eastAsia="Calibri" w:hAnsi="Calibri" w:cs="Calibri"/>
                <w:color w:val="000000" w:themeColor="text1"/>
                <w:sz w:val="24"/>
                <w:szCs w:val="24"/>
              </w:rPr>
              <w:t>The following was highlighted:</w:t>
            </w:r>
          </w:p>
          <w:p w14:paraId="1A22C0DC" w14:textId="7D124A10" w:rsidR="00AE23EE" w:rsidRPr="00C11B9A" w:rsidRDefault="00AE23EE" w:rsidP="00AE23EE">
            <w:pPr>
              <w:pStyle w:val="Heading3"/>
              <w:numPr>
                <w:ilvl w:val="0"/>
                <w:numId w:val="6"/>
              </w:numPr>
              <w:spacing w:before="60" w:after="60"/>
              <w:ind w:right="-110"/>
              <w:rPr>
                <w:sz w:val="24"/>
              </w:rPr>
            </w:pPr>
            <w:r>
              <w:rPr>
                <w:sz w:val="24"/>
              </w:rPr>
              <w:t>a</w:t>
            </w:r>
            <w:r w:rsidRPr="001F452B">
              <w:rPr>
                <w:sz w:val="24"/>
              </w:rPr>
              <w:t xml:space="preserve"> review of the corporate risk register </w:t>
            </w:r>
            <w:r>
              <w:rPr>
                <w:sz w:val="24"/>
              </w:rPr>
              <w:t>had been</w:t>
            </w:r>
            <w:r w:rsidRPr="001F452B">
              <w:rPr>
                <w:sz w:val="24"/>
              </w:rPr>
              <w:t xml:space="preserve"> undertaken </w:t>
            </w:r>
            <w:r>
              <w:rPr>
                <w:sz w:val="24"/>
              </w:rPr>
              <w:t xml:space="preserve">to identify the University’s year end position. It was provided alongside </w:t>
            </w:r>
            <w:r w:rsidRPr="001F452B">
              <w:rPr>
                <w:sz w:val="24"/>
              </w:rPr>
              <w:t xml:space="preserve">an updated risk </w:t>
            </w:r>
            <w:r w:rsidRPr="00C11B9A">
              <w:rPr>
                <w:sz w:val="24"/>
              </w:rPr>
              <w:t>heatmap and action log</w:t>
            </w:r>
            <w:r w:rsidR="008C27F0" w:rsidRPr="00C11B9A">
              <w:rPr>
                <w:sz w:val="24"/>
              </w:rPr>
              <w:t xml:space="preserve"> and trajectory</w:t>
            </w:r>
            <w:r w:rsidRPr="00C11B9A">
              <w:rPr>
                <w:sz w:val="24"/>
              </w:rPr>
              <w:t>;</w:t>
            </w:r>
          </w:p>
          <w:p w14:paraId="424D80D4" w14:textId="00AB8924" w:rsidR="00C11B9A" w:rsidRPr="00C11B9A" w:rsidRDefault="00C11B9A" w:rsidP="00C11B9A">
            <w:pPr>
              <w:pStyle w:val="ListParagraph"/>
              <w:numPr>
                <w:ilvl w:val="0"/>
                <w:numId w:val="6"/>
              </w:numPr>
              <w:rPr>
                <w:sz w:val="24"/>
                <w:szCs w:val="24"/>
              </w:rPr>
            </w:pPr>
            <w:r w:rsidRPr="00C11B9A">
              <w:rPr>
                <w:sz w:val="24"/>
                <w:szCs w:val="24"/>
              </w:rPr>
              <w:t>a minute confidential to the Committee was recorded;</w:t>
            </w:r>
          </w:p>
          <w:p w14:paraId="7F2FA280" w14:textId="7F5054B5" w:rsidR="00AE23EE" w:rsidRPr="00C11B9A" w:rsidRDefault="00C11B9A" w:rsidP="00AE23EE">
            <w:pPr>
              <w:pStyle w:val="ListParagraph"/>
              <w:numPr>
                <w:ilvl w:val="0"/>
                <w:numId w:val="6"/>
              </w:numPr>
            </w:pPr>
            <w:r w:rsidRPr="00C11B9A">
              <w:rPr>
                <w:sz w:val="24"/>
                <w:szCs w:val="24"/>
              </w:rPr>
              <w:t>a minute confidential to the Committee was recorded;</w:t>
            </w:r>
          </w:p>
          <w:p w14:paraId="49BFE607" w14:textId="6E5F84A6" w:rsidR="00AE23EE" w:rsidRDefault="00AE23EE" w:rsidP="00AE23EE">
            <w:pPr>
              <w:pStyle w:val="ListParagraph"/>
              <w:numPr>
                <w:ilvl w:val="0"/>
                <w:numId w:val="6"/>
              </w:numPr>
              <w:rPr>
                <w:sz w:val="24"/>
                <w:szCs w:val="24"/>
              </w:rPr>
            </w:pPr>
            <w:r>
              <w:rPr>
                <w:sz w:val="24"/>
                <w:szCs w:val="24"/>
              </w:rPr>
              <w:t xml:space="preserve">the Assurance Map had been reviewed to realign with the Corporate Risk Register and a summary version was presented. The map presented proposed confidence ratings of embedded controls in the risk register based on formal reporting and/or independent control verification such as internal or external audit or accreditation. A comprehensive review of embedded controls and their </w:t>
            </w:r>
            <w:r w:rsidRPr="00B0466A">
              <w:rPr>
                <w:sz w:val="24"/>
                <w:szCs w:val="24"/>
              </w:rPr>
              <w:t>verification was scheduled to take place during 2023/24</w:t>
            </w:r>
            <w:r>
              <w:rPr>
                <w:sz w:val="24"/>
                <w:szCs w:val="24"/>
              </w:rPr>
              <w:t>;</w:t>
            </w:r>
          </w:p>
        </w:tc>
      </w:tr>
      <w:tr w:rsidR="00C11B9A" w:rsidRPr="008A753B" w14:paraId="3534F458" w14:textId="77777777" w:rsidTr="00FD69CA">
        <w:tc>
          <w:tcPr>
            <w:tcW w:w="1596" w:type="dxa"/>
            <w:tcBorders>
              <w:top w:val="single" w:sz="4" w:space="0" w:color="auto"/>
              <w:bottom w:val="single" w:sz="4" w:space="0" w:color="auto"/>
            </w:tcBorders>
          </w:tcPr>
          <w:p w14:paraId="0D31D219" w14:textId="60277DF7" w:rsidR="00C11B9A" w:rsidRDefault="00C11B9A" w:rsidP="000C3EDD">
            <w:pPr>
              <w:spacing w:before="60" w:after="60"/>
              <w:ind w:left="-106" w:right="-108"/>
              <w:rPr>
                <w:sz w:val="24"/>
                <w:szCs w:val="24"/>
              </w:rPr>
            </w:pPr>
            <w:r>
              <w:rPr>
                <w:sz w:val="24"/>
                <w:szCs w:val="24"/>
              </w:rPr>
              <w:t>7.3</w:t>
            </w:r>
          </w:p>
        </w:tc>
        <w:tc>
          <w:tcPr>
            <w:tcW w:w="8460" w:type="dxa"/>
            <w:gridSpan w:val="2"/>
            <w:tcBorders>
              <w:top w:val="single" w:sz="4" w:space="0" w:color="auto"/>
              <w:bottom w:val="single" w:sz="4" w:space="0" w:color="auto"/>
            </w:tcBorders>
          </w:tcPr>
          <w:p w14:paraId="724D948C" w14:textId="77777777" w:rsidR="00C11B9A" w:rsidRPr="00C11B9A" w:rsidRDefault="00C11B9A" w:rsidP="00C11B9A">
            <w:pPr>
              <w:tabs>
                <w:tab w:val="left" w:pos="34"/>
                <w:tab w:val="right" w:pos="8348"/>
                <w:tab w:val="right" w:pos="9360"/>
              </w:tabs>
              <w:rPr>
                <w:rFonts w:ascii="Calibri" w:eastAsia="Calibri" w:hAnsi="Calibri" w:cs="Calibri"/>
                <w:color w:val="000000" w:themeColor="text1"/>
                <w:sz w:val="24"/>
                <w:szCs w:val="24"/>
              </w:rPr>
            </w:pPr>
            <w:r w:rsidRPr="00C11B9A">
              <w:rPr>
                <w:rFonts w:ascii="Calibri" w:eastAsia="Calibri" w:hAnsi="Calibri" w:cs="Calibri"/>
                <w:color w:val="000000" w:themeColor="text1"/>
                <w:sz w:val="24"/>
                <w:szCs w:val="24"/>
              </w:rPr>
              <w:t>The following was highlighted:</w:t>
            </w:r>
          </w:p>
          <w:p w14:paraId="4B55CA0B" w14:textId="4BEDC57F" w:rsidR="00C11B9A" w:rsidRPr="00641ABF" w:rsidRDefault="00C11B9A" w:rsidP="00C11B9A">
            <w:pPr>
              <w:pStyle w:val="ListParagraph"/>
              <w:numPr>
                <w:ilvl w:val="0"/>
                <w:numId w:val="26"/>
              </w:numPr>
              <w:rPr>
                <w:rFonts w:ascii="Calibri" w:eastAsia="Calibri" w:hAnsi="Calibri" w:cs="Calibri"/>
                <w:color w:val="000000" w:themeColor="text1"/>
                <w:sz w:val="24"/>
                <w:szCs w:val="24"/>
              </w:rPr>
            </w:pPr>
            <w:r w:rsidRPr="00C11B9A">
              <w:rPr>
                <w:sz w:val="24"/>
                <w:szCs w:val="24"/>
              </w:rPr>
              <w:t>a risk trajectory report had been developed following a discussion at the last ARC meeting (minute ARC/2023-06-22/</w:t>
            </w:r>
            <w:r w:rsidRPr="00C11B9A">
              <w:rPr>
                <w:rFonts w:ascii="Calibri" w:eastAsia="Times New Roman" w:hAnsi="Calibri" w:cs="Calibri"/>
                <w:sz w:val="24"/>
                <w:szCs w:val="24"/>
              </w:rPr>
              <w:t>6.3.5 refers</w:t>
            </w:r>
            <w:r w:rsidRPr="00C11B9A">
              <w:rPr>
                <w:sz w:val="24"/>
                <w:szCs w:val="24"/>
              </w:rPr>
              <w:t>). The report sought to visualise the ever-changing risk landscape and illustrate predicted vs actual risk trend. A minute confidential to the Committee was recorded</w:t>
            </w:r>
            <w:r>
              <w:rPr>
                <w:sz w:val="24"/>
                <w:szCs w:val="24"/>
              </w:rPr>
              <w:t>;</w:t>
            </w:r>
          </w:p>
        </w:tc>
      </w:tr>
      <w:tr w:rsidR="003A38DC" w:rsidRPr="008A753B" w14:paraId="4B39566C" w14:textId="77777777" w:rsidTr="00FD69CA">
        <w:tc>
          <w:tcPr>
            <w:tcW w:w="1596" w:type="dxa"/>
            <w:tcBorders>
              <w:top w:val="single" w:sz="4" w:space="0" w:color="auto"/>
              <w:bottom w:val="single" w:sz="4" w:space="0" w:color="auto"/>
            </w:tcBorders>
            <w:shd w:val="clear" w:color="auto" w:fill="auto"/>
          </w:tcPr>
          <w:p w14:paraId="52D137E7" w14:textId="148B8951" w:rsidR="003A38DC" w:rsidRPr="00641ABF" w:rsidRDefault="003A38DC" w:rsidP="00EB680B">
            <w:pPr>
              <w:pStyle w:val="Heading3"/>
              <w:spacing w:before="60" w:after="60"/>
              <w:ind w:left="-106" w:right="-108"/>
              <w:rPr>
                <w:sz w:val="24"/>
              </w:rPr>
            </w:pPr>
          </w:p>
        </w:tc>
        <w:tc>
          <w:tcPr>
            <w:tcW w:w="8460" w:type="dxa"/>
            <w:gridSpan w:val="2"/>
            <w:tcBorders>
              <w:top w:val="single" w:sz="4" w:space="0" w:color="auto"/>
              <w:bottom w:val="single" w:sz="4" w:space="0" w:color="auto"/>
            </w:tcBorders>
            <w:shd w:val="clear" w:color="auto" w:fill="auto"/>
          </w:tcPr>
          <w:p w14:paraId="6C1A6248" w14:textId="77777777" w:rsidR="003A38DC" w:rsidRPr="00C11B9A" w:rsidRDefault="003A38DC" w:rsidP="003A38DC">
            <w:pPr>
              <w:pStyle w:val="ListParagraph"/>
              <w:numPr>
                <w:ilvl w:val="0"/>
                <w:numId w:val="26"/>
              </w:numPr>
            </w:pPr>
            <w:r w:rsidRPr="00C11B9A">
              <w:rPr>
                <w:sz w:val="24"/>
                <w:szCs w:val="24"/>
              </w:rPr>
              <w:t>the University’s strategic plan for 2023/24 was in the final stages of consultation prior to UEB approval. Work was ongoing to ensure that the strategic priorities and the risk review processes linked (ARC_2023_10_05_1.1ii refers). In addition, the risk appetite statement was being reviewed and updated alongside the plan, to reflect the University’s current operating context and financial constraints.</w:t>
            </w:r>
          </w:p>
        </w:tc>
      </w:tr>
      <w:tr w:rsidR="002A141F" w:rsidRPr="008A753B" w14:paraId="653B0408" w14:textId="77777777" w:rsidTr="00FD69CA">
        <w:tc>
          <w:tcPr>
            <w:tcW w:w="1596" w:type="dxa"/>
            <w:tcBorders>
              <w:top w:val="single" w:sz="4" w:space="0" w:color="auto"/>
              <w:bottom w:val="nil"/>
            </w:tcBorders>
            <w:shd w:val="clear" w:color="auto" w:fill="auto"/>
          </w:tcPr>
          <w:p w14:paraId="3FB42C40" w14:textId="0EE00AAA" w:rsidR="002A141F" w:rsidRDefault="002A141F" w:rsidP="00EB680B">
            <w:pPr>
              <w:pStyle w:val="Heading3"/>
              <w:spacing w:before="60" w:after="60"/>
              <w:ind w:left="-106" w:right="-108"/>
              <w:rPr>
                <w:sz w:val="24"/>
              </w:rPr>
            </w:pPr>
            <w:r>
              <w:rPr>
                <w:sz w:val="24"/>
              </w:rPr>
              <w:t>7.</w:t>
            </w:r>
            <w:r w:rsidR="00C11B9A">
              <w:rPr>
                <w:sz w:val="24"/>
              </w:rPr>
              <w:t>4</w:t>
            </w:r>
          </w:p>
        </w:tc>
        <w:tc>
          <w:tcPr>
            <w:tcW w:w="8460" w:type="dxa"/>
            <w:gridSpan w:val="2"/>
            <w:tcBorders>
              <w:top w:val="single" w:sz="4" w:space="0" w:color="auto"/>
              <w:bottom w:val="nil"/>
            </w:tcBorders>
            <w:shd w:val="clear" w:color="auto" w:fill="auto"/>
          </w:tcPr>
          <w:p w14:paraId="7E1277E0" w14:textId="77777777" w:rsidR="002A141F" w:rsidRPr="00EA7503" w:rsidRDefault="002A141F" w:rsidP="00EB680B">
            <w:pPr>
              <w:pStyle w:val="ListParagraph"/>
              <w:spacing w:before="60" w:after="60"/>
              <w:ind w:left="0"/>
              <w:rPr>
                <w:sz w:val="24"/>
                <w:szCs w:val="24"/>
              </w:rPr>
            </w:pPr>
            <w:r>
              <w:rPr>
                <w:sz w:val="24"/>
                <w:szCs w:val="24"/>
              </w:rPr>
              <w:t>I</w:t>
            </w:r>
            <w:r w:rsidRPr="00EA7503">
              <w:rPr>
                <w:sz w:val="24"/>
                <w:szCs w:val="24"/>
              </w:rPr>
              <w:t>n response to questions/comments the following was noted:</w:t>
            </w:r>
          </w:p>
          <w:p w14:paraId="258DCA68" w14:textId="77777777" w:rsidR="002A141F" w:rsidRDefault="002A141F" w:rsidP="00EB680B">
            <w:pPr>
              <w:pStyle w:val="ListParagraph"/>
              <w:numPr>
                <w:ilvl w:val="0"/>
                <w:numId w:val="15"/>
              </w:numPr>
              <w:tabs>
                <w:tab w:val="left" w:pos="34"/>
                <w:tab w:val="right" w:pos="8348"/>
                <w:tab w:val="right" w:pos="9360"/>
              </w:tabs>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members welcomed the risk trajectory report as a useful tool providing a roadmap showing the risk profile </w:t>
            </w:r>
            <w:r>
              <w:rPr>
                <w:sz w:val="24"/>
                <w:szCs w:val="24"/>
              </w:rPr>
              <w:t>and the impact of risk mitigations</w:t>
            </w:r>
            <w:r>
              <w:rPr>
                <w:rFonts w:ascii="Calibri" w:eastAsia="Calibri" w:hAnsi="Calibri" w:cs="Calibri"/>
                <w:color w:val="000000" w:themeColor="text1"/>
                <w:sz w:val="24"/>
                <w:szCs w:val="24"/>
              </w:rPr>
              <w:t>;</w:t>
            </w:r>
          </w:p>
          <w:p w14:paraId="3E232479" w14:textId="4D2CF66A" w:rsidR="00FD69CA" w:rsidRPr="00C11B9A" w:rsidRDefault="00C11B9A" w:rsidP="00C11B9A">
            <w:pPr>
              <w:spacing w:before="60" w:after="60"/>
              <w:rPr>
                <w:rFonts w:eastAsia="Calibri" w:cstheme="minorHAnsi"/>
                <w:color w:val="000000" w:themeColor="text1"/>
                <w:sz w:val="24"/>
                <w:szCs w:val="24"/>
              </w:rPr>
            </w:pPr>
            <w:r w:rsidRPr="00C11B9A">
              <w:rPr>
                <w:rFonts w:cstheme="minorHAnsi"/>
                <w:sz w:val="24"/>
                <w:szCs w:val="24"/>
              </w:rPr>
              <w:t>Minutes (ARC_2023_10_05_7.4 ii to 7.4</w:t>
            </w:r>
            <w:r w:rsidR="00E1368E">
              <w:rPr>
                <w:rFonts w:cstheme="minorHAnsi"/>
                <w:sz w:val="24"/>
                <w:szCs w:val="24"/>
              </w:rPr>
              <w:t>viii</w:t>
            </w:r>
            <w:r w:rsidRPr="00C11B9A">
              <w:rPr>
                <w:rFonts w:cstheme="minorHAnsi"/>
                <w:sz w:val="24"/>
                <w:szCs w:val="24"/>
              </w:rPr>
              <w:t>) confidential to the Committee were recorded.</w:t>
            </w:r>
          </w:p>
        </w:tc>
      </w:tr>
      <w:tr w:rsidR="00C11B9A" w:rsidRPr="008A753B" w14:paraId="14E073D8" w14:textId="77777777" w:rsidTr="007C0DE3">
        <w:tc>
          <w:tcPr>
            <w:tcW w:w="1596" w:type="dxa"/>
            <w:tcBorders>
              <w:top w:val="single" w:sz="4" w:space="0" w:color="auto"/>
              <w:bottom w:val="single" w:sz="4" w:space="0" w:color="auto"/>
            </w:tcBorders>
            <w:shd w:val="clear" w:color="auto" w:fill="D9D9D9" w:themeFill="background1" w:themeFillShade="D9"/>
          </w:tcPr>
          <w:p w14:paraId="5182468E" w14:textId="77777777" w:rsidR="00C11B9A" w:rsidRDefault="00C11B9A" w:rsidP="007C0DE3">
            <w:pPr>
              <w:pStyle w:val="Heading3"/>
              <w:spacing w:before="60" w:after="60"/>
              <w:ind w:left="-106" w:right="-108"/>
            </w:pPr>
            <w:r>
              <w:t>ARC_2023_10_05_8</w:t>
            </w:r>
          </w:p>
        </w:tc>
        <w:tc>
          <w:tcPr>
            <w:tcW w:w="6570" w:type="dxa"/>
            <w:tcBorders>
              <w:top w:val="single" w:sz="4" w:space="0" w:color="auto"/>
              <w:bottom w:val="single" w:sz="4" w:space="0" w:color="auto"/>
            </w:tcBorders>
            <w:shd w:val="clear" w:color="auto" w:fill="D9D9D9" w:themeFill="background1" w:themeFillShade="D9"/>
          </w:tcPr>
          <w:p w14:paraId="0DD9A469" w14:textId="77777777" w:rsidR="00C11B9A" w:rsidRPr="008A753B" w:rsidRDefault="00C11B9A" w:rsidP="007C0DE3">
            <w:pPr>
              <w:pStyle w:val="Heading2"/>
            </w:pPr>
            <w:r>
              <w:rPr>
                <w:bCs/>
              </w:rPr>
              <w:t>RISK DEEP DIVE: PEOPLE AND STAFFING</w:t>
            </w:r>
          </w:p>
        </w:tc>
        <w:tc>
          <w:tcPr>
            <w:tcW w:w="1890" w:type="dxa"/>
            <w:tcBorders>
              <w:top w:val="single" w:sz="4" w:space="0" w:color="auto"/>
              <w:bottom w:val="single" w:sz="4" w:space="0" w:color="auto"/>
            </w:tcBorders>
            <w:shd w:val="clear" w:color="auto" w:fill="D9D9D9" w:themeFill="background1" w:themeFillShade="D9"/>
          </w:tcPr>
          <w:p w14:paraId="7184F60E" w14:textId="77777777" w:rsidR="00C11B9A" w:rsidRPr="00D076A6" w:rsidRDefault="00C11B9A" w:rsidP="007C0DE3">
            <w:pPr>
              <w:pStyle w:val="Heading3"/>
              <w:spacing w:before="60" w:after="60"/>
              <w:ind w:left="-113" w:right="-110"/>
              <w:jc w:val="right"/>
            </w:pPr>
          </w:p>
        </w:tc>
      </w:tr>
      <w:tr w:rsidR="00C11B9A" w:rsidRPr="008A753B" w14:paraId="713986B4" w14:textId="77777777" w:rsidTr="007C0DE3">
        <w:tc>
          <w:tcPr>
            <w:tcW w:w="1596" w:type="dxa"/>
            <w:tcBorders>
              <w:top w:val="single" w:sz="4" w:space="0" w:color="auto"/>
              <w:bottom w:val="single" w:sz="4" w:space="0" w:color="auto"/>
            </w:tcBorders>
            <w:shd w:val="clear" w:color="auto" w:fill="auto"/>
          </w:tcPr>
          <w:p w14:paraId="4C3A2C58" w14:textId="77777777" w:rsidR="00C11B9A" w:rsidRPr="00AF0D64" w:rsidRDefault="00C11B9A" w:rsidP="007C0DE3">
            <w:pPr>
              <w:pStyle w:val="Heading3"/>
              <w:spacing w:before="60" w:after="60"/>
              <w:ind w:left="-106" w:right="-108"/>
              <w:rPr>
                <w:sz w:val="24"/>
              </w:rPr>
            </w:pPr>
            <w:r>
              <w:rPr>
                <w:sz w:val="24"/>
              </w:rPr>
              <w:t>8</w:t>
            </w:r>
            <w:r w:rsidRPr="00AF0D64">
              <w:rPr>
                <w:sz w:val="24"/>
              </w:rPr>
              <w:t>.1</w:t>
            </w:r>
          </w:p>
        </w:tc>
        <w:tc>
          <w:tcPr>
            <w:tcW w:w="8460" w:type="dxa"/>
            <w:gridSpan w:val="2"/>
            <w:tcBorders>
              <w:top w:val="single" w:sz="4" w:space="0" w:color="auto"/>
              <w:bottom w:val="single" w:sz="4" w:space="0" w:color="auto"/>
            </w:tcBorders>
            <w:shd w:val="clear" w:color="auto" w:fill="auto"/>
          </w:tcPr>
          <w:p w14:paraId="6EC4067B" w14:textId="77777777" w:rsidR="00C11B9A" w:rsidRPr="008D5115" w:rsidRDefault="00C11B9A" w:rsidP="007C0DE3">
            <w:pPr>
              <w:pStyle w:val="Heading3"/>
              <w:spacing w:before="60" w:after="60"/>
              <w:ind w:right="-110"/>
              <w:rPr>
                <w:sz w:val="24"/>
              </w:rPr>
            </w:pPr>
            <w:r w:rsidRPr="008D5115">
              <w:rPr>
                <w:sz w:val="24"/>
              </w:rPr>
              <w:t>The Chief People Officer and Pro Vice-Chancellor (Diversity and Inclusion)</w:t>
            </w:r>
            <w:r>
              <w:rPr>
                <w:sz w:val="24"/>
              </w:rPr>
              <w:t xml:space="preserve"> and the DVCA</w:t>
            </w:r>
            <w:r w:rsidRPr="008D5115">
              <w:rPr>
                <w:sz w:val="24"/>
              </w:rPr>
              <w:t xml:space="preserve"> outlined the key people and staffing challenges facing the University</w:t>
            </w:r>
            <w:r>
              <w:rPr>
                <w:sz w:val="24"/>
              </w:rPr>
              <w:t>.</w:t>
            </w:r>
          </w:p>
        </w:tc>
      </w:tr>
      <w:tr w:rsidR="003A38DC" w:rsidRPr="008A753B" w14:paraId="13484D11" w14:textId="77777777" w:rsidTr="00FD69CA">
        <w:tc>
          <w:tcPr>
            <w:tcW w:w="1596" w:type="dxa"/>
            <w:tcBorders>
              <w:top w:val="nil"/>
              <w:bottom w:val="nil"/>
            </w:tcBorders>
          </w:tcPr>
          <w:p w14:paraId="5524BB7A" w14:textId="2E5EB92E" w:rsidR="003A38DC" w:rsidRDefault="00C11B9A" w:rsidP="000C3EDD">
            <w:pPr>
              <w:spacing w:before="60" w:after="60"/>
              <w:ind w:left="-106" w:right="-108"/>
              <w:rPr>
                <w:sz w:val="24"/>
                <w:szCs w:val="24"/>
              </w:rPr>
            </w:pPr>
            <w:r>
              <w:rPr>
                <w:sz w:val="24"/>
                <w:szCs w:val="24"/>
              </w:rPr>
              <w:t>8.2 to 8.5</w:t>
            </w:r>
          </w:p>
        </w:tc>
        <w:tc>
          <w:tcPr>
            <w:tcW w:w="8460" w:type="dxa"/>
            <w:gridSpan w:val="2"/>
            <w:tcBorders>
              <w:top w:val="nil"/>
              <w:bottom w:val="nil"/>
            </w:tcBorders>
          </w:tcPr>
          <w:p w14:paraId="7D391E32" w14:textId="06B461DD" w:rsidR="003A38DC" w:rsidRPr="00641ABF" w:rsidRDefault="00C11B9A" w:rsidP="00AE23EE">
            <w:pPr>
              <w:tabs>
                <w:tab w:val="left" w:pos="34"/>
                <w:tab w:val="right" w:pos="8348"/>
                <w:tab w:val="right" w:pos="9360"/>
              </w:tabs>
              <w:rPr>
                <w:rFonts w:ascii="Calibri" w:eastAsia="Calibri" w:hAnsi="Calibri" w:cs="Calibri"/>
                <w:color w:val="000000" w:themeColor="text1"/>
                <w:sz w:val="24"/>
                <w:szCs w:val="24"/>
              </w:rPr>
            </w:pPr>
            <w:r>
              <w:rPr>
                <w:sz w:val="24"/>
                <w:szCs w:val="24"/>
              </w:rPr>
              <w:t>M</w:t>
            </w:r>
            <w:r w:rsidRPr="00C11B9A">
              <w:rPr>
                <w:sz w:val="24"/>
                <w:szCs w:val="24"/>
              </w:rPr>
              <w:t>inute</w:t>
            </w:r>
            <w:r>
              <w:rPr>
                <w:sz w:val="24"/>
                <w:szCs w:val="24"/>
              </w:rPr>
              <w:t>s</w:t>
            </w:r>
            <w:r w:rsidRPr="00C11B9A">
              <w:rPr>
                <w:sz w:val="24"/>
                <w:szCs w:val="24"/>
              </w:rPr>
              <w:t xml:space="preserve"> confidential to the Committee w</w:t>
            </w:r>
            <w:r>
              <w:rPr>
                <w:sz w:val="24"/>
                <w:szCs w:val="24"/>
              </w:rPr>
              <w:t>ere</w:t>
            </w:r>
            <w:r w:rsidRPr="00C11B9A">
              <w:rPr>
                <w:sz w:val="24"/>
                <w:szCs w:val="24"/>
              </w:rPr>
              <w:t xml:space="preserve"> recorded</w:t>
            </w:r>
            <w:r>
              <w:rPr>
                <w:sz w:val="24"/>
                <w:szCs w:val="24"/>
              </w:rPr>
              <w:t>.</w:t>
            </w:r>
          </w:p>
        </w:tc>
      </w:tr>
      <w:tr w:rsidR="00C11B9A" w:rsidRPr="008A753B" w14:paraId="72715E43" w14:textId="77777777" w:rsidTr="007C0DE3">
        <w:tc>
          <w:tcPr>
            <w:tcW w:w="1596" w:type="dxa"/>
            <w:tcBorders>
              <w:top w:val="single" w:sz="4" w:space="0" w:color="auto"/>
              <w:bottom w:val="single" w:sz="4" w:space="0" w:color="auto"/>
            </w:tcBorders>
          </w:tcPr>
          <w:p w14:paraId="74253754" w14:textId="77777777" w:rsidR="00C11B9A" w:rsidRDefault="00C11B9A" w:rsidP="007C0DE3">
            <w:pPr>
              <w:spacing w:before="60" w:after="60"/>
              <w:ind w:left="-106" w:right="-108"/>
              <w:rPr>
                <w:sz w:val="24"/>
                <w:szCs w:val="24"/>
              </w:rPr>
            </w:pPr>
            <w:r>
              <w:rPr>
                <w:sz w:val="24"/>
                <w:szCs w:val="24"/>
              </w:rPr>
              <w:t>8.6</w:t>
            </w:r>
          </w:p>
        </w:tc>
        <w:tc>
          <w:tcPr>
            <w:tcW w:w="8460" w:type="dxa"/>
            <w:gridSpan w:val="2"/>
            <w:tcBorders>
              <w:top w:val="single" w:sz="4" w:space="0" w:color="auto"/>
              <w:bottom w:val="single" w:sz="4" w:space="0" w:color="auto"/>
            </w:tcBorders>
          </w:tcPr>
          <w:p w14:paraId="52C88A60" w14:textId="77777777" w:rsidR="00C11B9A" w:rsidRDefault="00C11B9A" w:rsidP="007C0DE3">
            <w:pPr>
              <w:spacing w:before="60" w:after="60"/>
              <w:rPr>
                <w:sz w:val="24"/>
                <w:szCs w:val="24"/>
              </w:rPr>
            </w:pPr>
            <w:r>
              <w:rPr>
                <w:sz w:val="24"/>
                <w:szCs w:val="24"/>
              </w:rPr>
              <w:t>Members commented that the deep dive discussions with risk owners provided valuable insight for the Committee into the risk management process at the University and thanked the Chief People Officer and the DVCA for their contribution to the meeting.</w:t>
            </w:r>
          </w:p>
        </w:tc>
      </w:tr>
      <w:tr w:rsidR="00DA7BBC" w:rsidRPr="008A753B" w14:paraId="5EABD73F" w14:textId="77777777" w:rsidTr="00FD69CA">
        <w:tc>
          <w:tcPr>
            <w:tcW w:w="1596" w:type="dxa"/>
            <w:tcBorders>
              <w:top w:val="single" w:sz="4" w:space="0" w:color="auto"/>
              <w:bottom w:val="single" w:sz="4" w:space="0" w:color="auto"/>
            </w:tcBorders>
            <w:shd w:val="clear" w:color="auto" w:fill="D9D9D9" w:themeFill="background1" w:themeFillShade="D9"/>
          </w:tcPr>
          <w:p w14:paraId="599CE195" w14:textId="77777777" w:rsidR="00DA7BBC" w:rsidRDefault="00DA7BBC" w:rsidP="00DE7476">
            <w:pPr>
              <w:pStyle w:val="Heading3"/>
              <w:spacing w:before="60" w:after="60"/>
              <w:ind w:left="-106" w:right="-108"/>
            </w:pPr>
            <w:r>
              <w:t>ARC_2023_10_05_9</w:t>
            </w:r>
          </w:p>
        </w:tc>
        <w:tc>
          <w:tcPr>
            <w:tcW w:w="6570" w:type="dxa"/>
            <w:tcBorders>
              <w:top w:val="single" w:sz="4" w:space="0" w:color="auto"/>
              <w:bottom w:val="single" w:sz="4" w:space="0" w:color="auto"/>
            </w:tcBorders>
            <w:shd w:val="clear" w:color="auto" w:fill="D9D9D9" w:themeFill="background1" w:themeFillShade="D9"/>
          </w:tcPr>
          <w:p w14:paraId="7286F229" w14:textId="77777777" w:rsidR="00DA7BBC" w:rsidRPr="008A753B" w:rsidRDefault="00DA7BBC" w:rsidP="00DE7476">
            <w:pPr>
              <w:pStyle w:val="Heading2"/>
            </w:pPr>
            <w:r>
              <w:rPr>
                <w:bCs/>
              </w:rPr>
              <w:t>UPDATE BY AUDITORS ON AUDIT MATTERS AND SECTOR ISSUES</w:t>
            </w:r>
          </w:p>
        </w:tc>
        <w:tc>
          <w:tcPr>
            <w:tcW w:w="1890" w:type="dxa"/>
            <w:tcBorders>
              <w:top w:val="single" w:sz="4" w:space="0" w:color="auto"/>
              <w:bottom w:val="single" w:sz="4" w:space="0" w:color="auto"/>
            </w:tcBorders>
            <w:shd w:val="clear" w:color="auto" w:fill="D9D9D9" w:themeFill="background1" w:themeFillShade="D9"/>
          </w:tcPr>
          <w:p w14:paraId="3E04F15A" w14:textId="77777777" w:rsidR="00DA7BBC" w:rsidRPr="00D076A6" w:rsidRDefault="00DA7BBC" w:rsidP="00DE7476">
            <w:pPr>
              <w:pStyle w:val="Heading3"/>
              <w:spacing w:before="60" w:after="60"/>
              <w:ind w:left="-113" w:right="-110"/>
              <w:jc w:val="right"/>
            </w:pPr>
          </w:p>
        </w:tc>
      </w:tr>
      <w:tr w:rsidR="00DA7BBC" w:rsidRPr="008A753B" w14:paraId="52535406" w14:textId="77777777" w:rsidTr="00FD69CA">
        <w:tc>
          <w:tcPr>
            <w:tcW w:w="1596" w:type="dxa"/>
            <w:tcBorders>
              <w:top w:val="single" w:sz="4" w:space="0" w:color="auto"/>
              <w:bottom w:val="single" w:sz="4" w:space="0" w:color="auto"/>
            </w:tcBorders>
            <w:shd w:val="clear" w:color="auto" w:fill="auto"/>
          </w:tcPr>
          <w:p w14:paraId="016D65A8" w14:textId="77777777" w:rsidR="00DA7BBC" w:rsidRPr="001B260D" w:rsidRDefault="00DA7BBC" w:rsidP="00DE7476">
            <w:pPr>
              <w:pStyle w:val="Heading3"/>
              <w:spacing w:before="60" w:after="60"/>
              <w:ind w:left="-106" w:right="-108"/>
              <w:rPr>
                <w:sz w:val="24"/>
              </w:rPr>
            </w:pPr>
            <w:r>
              <w:rPr>
                <w:sz w:val="24"/>
              </w:rPr>
              <w:t>9</w:t>
            </w:r>
            <w:r w:rsidRPr="001B260D">
              <w:rPr>
                <w:sz w:val="24"/>
              </w:rPr>
              <w:t>.1</w:t>
            </w:r>
          </w:p>
        </w:tc>
        <w:tc>
          <w:tcPr>
            <w:tcW w:w="8460" w:type="dxa"/>
            <w:gridSpan w:val="2"/>
            <w:tcBorders>
              <w:top w:val="single" w:sz="4" w:space="0" w:color="auto"/>
              <w:bottom w:val="single" w:sz="4" w:space="0" w:color="auto"/>
            </w:tcBorders>
            <w:shd w:val="clear" w:color="auto" w:fill="auto"/>
          </w:tcPr>
          <w:p w14:paraId="5CE1825F" w14:textId="77777777" w:rsidR="00DA7BBC" w:rsidRPr="00597060" w:rsidRDefault="00DA7BBC" w:rsidP="00DE7476">
            <w:pPr>
              <w:rPr>
                <w:sz w:val="24"/>
                <w:szCs w:val="24"/>
              </w:rPr>
            </w:pPr>
            <w:r w:rsidRPr="00597060">
              <w:rPr>
                <w:sz w:val="24"/>
                <w:szCs w:val="24"/>
              </w:rPr>
              <w:t xml:space="preserve">No </w:t>
            </w:r>
            <w:r>
              <w:rPr>
                <w:sz w:val="24"/>
                <w:szCs w:val="24"/>
              </w:rPr>
              <w:t>matters were highlighted in addition to comments made during other items.</w:t>
            </w:r>
          </w:p>
        </w:tc>
      </w:tr>
      <w:tr w:rsidR="00DA7BBC" w:rsidRPr="008A753B" w14:paraId="43AD24FB" w14:textId="77777777" w:rsidTr="00FD69CA">
        <w:tc>
          <w:tcPr>
            <w:tcW w:w="1596" w:type="dxa"/>
            <w:tcBorders>
              <w:top w:val="single" w:sz="4" w:space="0" w:color="auto"/>
              <w:bottom w:val="single" w:sz="4" w:space="0" w:color="auto"/>
            </w:tcBorders>
            <w:shd w:val="clear" w:color="auto" w:fill="D9D9D9" w:themeFill="background1" w:themeFillShade="D9"/>
          </w:tcPr>
          <w:p w14:paraId="36D20125" w14:textId="77777777" w:rsidR="00DA7BBC" w:rsidRDefault="00DA7BBC" w:rsidP="00DE7476">
            <w:pPr>
              <w:pStyle w:val="Heading3"/>
              <w:spacing w:before="60" w:after="60"/>
              <w:ind w:left="-106" w:right="-108"/>
            </w:pPr>
            <w:r>
              <w:t>ARC_2023_10_05_10</w:t>
            </w:r>
          </w:p>
        </w:tc>
        <w:tc>
          <w:tcPr>
            <w:tcW w:w="6570" w:type="dxa"/>
            <w:tcBorders>
              <w:top w:val="single" w:sz="4" w:space="0" w:color="auto"/>
              <w:bottom w:val="single" w:sz="4" w:space="0" w:color="auto"/>
            </w:tcBorders>
            <w:shd w:val="clear" w:color="auto" w:fill="D9D9D9" w:themeFill="background1" w:themeFillShade="D9"/>
          </w:tcPr>
          <w:p w14:paraId="3182A9DB" w14:textId="77777777" w:rsidR="00DA7BBC" w:rsidRPr="006A007A" w:rsidRDefault="00DA7BBC" w:rsidP="00DE7476">
            <w:pPr>
              <w:pStyle w:val="Heading2"/>
              <w:rPr>
                <w:bCs/>
              </w:rPr>
            </w:pPr>
            <w:r w:rsidRPr="006A007A">
              <w:rPr>
                <w:bCs/>
              </w:rPr>
              <w:t>INTERNAL AUDIT PROGRESS REPORT 2021/22 (KPMG)</w:t>
            </w:r>
          </w:p>
          <w:p w14:paraId="7CBAFFFC" w14:textId="77777777" w:rsidR="00DA7BBC" w:rsidRPr="00897F62" w:rsidRDefault="00DA7BBC" w:rsidP="00DE7476">
            <w:pPr>
              <w:rPr>
                <w:b/>
                <w:bCs/>
                <w:sz w:val="24"/>
                <w:szCs w:val="24"/>
              </w:rPr>
            </w:pPr>
            <w:proofErr w:type="spellStart"/>
            <w:r w:rsidRPr="00897F62">
              <w:rPr>
                <w:b/>
                <w:bCs/>
                <w:sz w:val="24"/>
                <w:szCs w:val="24"/>
              </w:rPr>
              <w:t>i</w:t>
            </w:r>
            <w:proofErr w:type="spellEnd"/>
            <w:r w:rsidRPr="00897F62">
              <w:rPr>
                <w:b/>
                <w:bCs/>
                <w:sz w:val="24"/>
                <w:szCs w:val="24"/>
              </w:rPr>
              <w:t>. STUDENT RECRUITMENT: ADMISSIONS PROCESS</w:t>
            </w:r>
          </w:p>
        </w:tc>
        <w:tc>
          <w:tcPr>
            <w:tcW w:w="1890" w:type="dxa"/>
            <w:tcBorders>
              <w:top w:val="single" w:sz="4" w:space="0" w:color="auto"/>
              <w:bottom w:val="single" w:sz="4" w:space="0" w:color="auto"/>
            </w:tcBorders>
            <w:shd w:val="clear" w:color="auto" w:fill="D9D9D9" w:themeFill="background1" w:themeFillShade="D9"/>
          </w:tcPr>
          <w:p w14:paraId="2CFB670D" w14:textId="6048F7BF" w:rsidR="00DA7BBC" w:rsidRPr="00D076A6" w:rsidRDefault="00DA7BBC" w:rsidP="00DE7476">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 xml:space="preserve">_05_P7i </w:t>
            </w:r>
            <w:r>
              <w:t xml:space="preserve">    </w:t>
            </w:r>
          </w:p>
        </w:tc>
      </w:tr>
      <w:tr w:rsidR="00DA7BBC" w:rsidRPr="008A753B" w14:paraId="532FAE81" w14:textId="77777777" w:rsidTr="00FD69CA">
        <w:tc>
          <w:tcPr>
            <w:tcW w:w="1596" w:type="dxa"/>
            <w:tcBorders>
              <w:top w:val="single" w:sz="4" w:space="0" w:color="auto"/>
              <w:bottom w:val="nil"/>
            </w:tcBorders>
          </w:tcPr>
          <w:p w14:paraId="48D0A7D0" w14:textId="5DAE5D5E" w:rsidR="00DA7BBC" w:rsidRDefault="001A4BED" w:rsidP="000C3EDD">
            <w:pPr>
              <w:spacing w:before="60" w:after="60"/>
              <w:ind w:left="-106" w:right="-108"/>
              <w:rPr>
                <w:sz w:val="24"/>
                <w:szCs w:val="24"/>
              </w:rPr>
            </w:pPr>
            <w:r>
              <w:rPr>
                <w:sz w:val="24"/>
                <w:szCs w:val="24"/>
              </w:rPr>
              <w:t>10.1</w:t>
            </w:r>
          </w:p>
        </w:tc>
        <w:tc>
          <w:tcPr>
            <w:tcW w:w="8460" w:type="dxa"/>
            <w:gridSpan w:val="2"/>
            <w:tcBorders>
              <w:top w:val="single" w:sz="4" w:space="0" w:color="auto"/>
              <w:bottom w:val="nil"/>
            </w:tcBorders>
          </w:tcPr>
          <w:p w14:paraId="07C2B1E7" w14:textId="32E2304C" w:rsidR="001A4BED" w:rsidRPr="001A4BED" w:rsidRDefault="001A4BED" w:rsidP="00C11B9A">
            <w:pPr>
              <w:pStyle w:val="Heading3"/>
              <w:spacing w:before="60" w:after="60"/>
              <w:ind w:right="-110"/>
            </w:pPr>
            <w:r w:rsidRPr="0069595F">
              <w:rPr>
                <w:rFonts w:cstheme="minorHAnsi"/>
                <w:sz w:val="24"/>
              </w:rPr>
              <w:t xml:space="preserve">The Committee received the </w:t>
            </w:r>
            <w:r>
              <w:rPr>
                <w:rFonts w:cstheme="minorHAnsi"/>
                <w:sz w:val="24"/>
              </w:rPr>
              <w:t xml:space="preserve">internal audit </w:t>
            </w:r>
            <w:r w:rsidRPr="0069595F">
              <w:rPr>
                <w:rFonts w:cstheme="minorHAnsi"/>
                <w:sz w:val="24"/>
              </w:rPr>
              <w:t>report</w:t>
            </w:r>
            <w:r>
              <w:rPr>
                <w:rFonts w:cstheme="minorHAnsi"/>
                <w:sz w:val="24"/>
              </w:rPr>
              <w:t xml:space="preserve"> on student recruitment- admissions process</w:t>
            </w:r>
            <w:r w:rsidRPr="0069595F">
              <w:rPr>
                <w:rFonts w:cstheme="minorHAnsi"/>
                <w:sz w:val="24"/>
              </w:rPr>
              <w:t xml:space="preserve"> which had </w:t>
            </w:r>
            <w:r>
              <w:rPr>
                <w:rFonts w:cstheme="minorHAnsi"/>
                <w:sz w:val="24"/>
              </w:rPr>
              <w:t xml:space="preserve">all </w:t>
            </w:r>
            <w:r w:rsidRPr="0069595F">
              <w:rPr>
                <w:rFonts w:cstheme="minorHAnsi"/>
                <w:sz w:val="24"/>
              </w:rPr>
              <w:t>been graded as</w:t>
            </w:r>
            <w:r>
              <w:rPr>
                <w:rFonts w:cstheme="minorHAnsi"/>
                <w:sz w:val="24"/>
              </w:rPr>
              <w:t xml:space="preserve"> high risk.</w:t>
            </w:r>
            <w:r w:rsidR="00C11B9A">
              <w:rPr>
                <w:rFonts w:cstheme="minorHAnsi"/>
                <w:sz w:val="24"/>
              </w:rPr>
              <w:t xml:space="preserve"> A</w:t>
            </w:r>
            <w:r w:rsidR="00C11B9A" w:rsidRPr="00C11B9A">
              <w:rPr>
                <w:sz w:val="24"/>
              </w:rPr>
              <w:t xml:space="preserve"> minute confidential to the Committee was recorded</w:t>
            </w:r>
            <w:r w:rsidR="00E1368E">
              <w:rPr>
                <w:sz w:val="24"/>
              </w:rPr>
              <w:t xml:space="preserve"> (ARC_2023_10_05/10.1i to 10.1iii)</w:t>
            </w:r>
            <w:r w:rsidR="00C11B9A">
              <w:rPr>
                <w:rFonts w:cstheme="minorHAnsi"/>
                <w:sz w:val="24"/>
              </w:rPr>
              <w:t>.</w:t>
            </w:r>
          </w:p>
        </w:tc>
      </w:tr>
      <w:tr w:rsidR="00366CBF" w:rsidRPr="008A753B" w14:paraId="120B5887" w14:textId="77777777" w:rsidTr="007C0DE3">
        <w:tc>
          <w:tcPr>
            <w:tcW w:w="1596" w:type="dxa"/>
            <w:tcBorders>
              <w:top w:val="single" w:sz="4" w:space="0" w:color="auto"/>
              <w:bottom w:val="single" w:sz="4" w:space="0" w:color="auto"/>
            </w:tcBorders>
            <w:shd w:val="clear" w:color="auto" w:fill="auto"/>
          </w:tcPr>
          <w:p w14:paraId="33544EF5" w14:textId="77777777" w:rsidR="00366CBF" w:rsidRDefault="00366CBF" w:rsidP="007C0DE3">
            <w:pPr>
              <w:pStyle w:val="Heading3"/>
              <w:spacing w:before="60" w:after="60"/>
              <w:ind w:left="-106" w:right="-108"/>
              <w:rPr>
                <w:sz w:val="24"/>
              </w:rPr>
            </w:pPr>
            <w:r>
              <w:rPr>
                <w:sz w:val="24"/>
              </w:rPr>
              <w:t>10.2</w:t>
            </w:r>
          </w:p>
        </w:tc>
        <w:tc>
          <w:tcPr>
            <w:tcW w:w="8460" w:type="dxa"/>
            <w:gridSpan w:val="2"/>
            <w:tcBorders>
              <w:top w:val="single" w:sz="4" w:space="0" w:color="auto"/>
              <w:bottom w:val="single" w:sz="4" w:space="0" w:color="auto"/>
            </w:tcBorders>
            <w:shd w:val="clear" w:color="auto" w:fill="auto"/>
          </w:tcPr>
          <w:p w14:paraId="4465D78F" w14:textId="77777777" w:rsidR="00366CBF" w:rsidRPr="00366CBF" w:rsidRDefault="00366CBF" w:rsidP="007C0DE3">
            <w:pPr>
              <w:rPr>
                <w:sz w:val="24"/>
                <w:szCs w:val="24"/>
              </w:rPr>
            </w:pPr>
            <w:r>
              <w:rPr>
                <w:sz w:val="24"/>
                <w:szCs w:val="24"/>
              </w:rPr>
              <w:t>A</w:t>
            </w:r>
            <w:r w:rsidRPr="00366CBF">
              <w:rPr>
                <w:sz w:val="24"/>
                <w:szCs w:val="24"/>
              </w:rPr>
              <w:t xml:space="preserve"> minute confidential to the Committee was recorded</w:t>
            </w:r>
            <w:r>
              <w:rPr>
                <w:sz w:val="24"/>
                <w:szCs w:val="24"/>
              </w:rPr>
              <w:t>.</w:t>
            </w:r>
          </w:p>
        </w:tc>
      </w:tr>
      <w:tr w:rsidR="00366CBF" w:rsidRPr="008A753B" w14:paraId="258FAB97" w14:textId="77777777" w:rsidTr="007C0DE3">
        <w:tc>
          <w:tcPr>
            <w:tcW w:w="1596" w:type="dxa"/>
            <w:tcBorders>
              <w:top w:val="single" w:sz="4" w:space="0" w:color="auto"/>
              <w:bottom w:val="single" w:sz="4" w:space="0" w:color="auto"/>
            </w:tcBorders>
            <w:shd w:val="clear" w:color="auto" w:fill="D9D9D9" w:themeFill="background1" w:themeFillShade="D9"/>
          </w:tcPr>
          <w:p w14:paraId="1C0AF8D0" w14:textId="77777777" w:rsidR="00366CBF" w:rsidRDefault="00366CBF" w:rsidP="007C0DE3">
            <w:pPr>
              <w:pStyle w:val="Heading3"/>
              <w:spacing w:before="60" w:after="60"/>
              <w:ind w:left="-106" w:right="-108"/>
            </w:pPr>
            <w:r>
              <w:t>ARC_2023_10_05_11</w:t>
            </w:r>
          </w:p>
        </w:tc>
        <w:tc>
          <w:tcPr>
            <w:tcW w:w="6570" w:type="dxa"/>
            <w:tcBorders>
              <w:top w:val="single" w:sz="4" w:space="0" w:color="auto"/>
              <w:bottom w:val="single" w:sz="4" w:space="0" w:color="auto"/>
            </w:tcBorders>
            <w:shd w:val="clear" w:color="auto" w:fill="D9D9D9" w:themeFill="background1" w:themeFillShade="D9"/>
          </w:tcPr>
          <w:p w14:paraId="6BF81382" w14:textId="77777777" w:rsidR="00366CBF" w:rsidRPr="006A007A" w:rsidRDefault="00366CBF" w:rsidP="007C0DE3">
            <w:pPr>
              <w:pStyle w:val="Heading2"/>
              <w:rPr>
                <w:bCs/>
              </w:rPr>
            </w:pPr>
            <w:r w:rsidRPr="006A007A">
              <w:rPr>
                <w:bCs/>
              </w:rPr>
              <w:t>INTERNAL AUDIT PROGRESS REPORT 2021/22 (KPMG)</w:t>
            </w:r>
          </w:p>
          <w:p w14:paraId="27115B2A" w14:textId="77777777" w:rsidR="00366CBF" w:rsidRPr="00897F62" w:rsidRDefault="00366CBF" w:rsidP="007C0DE3">
            <w:pPr>
              <w:rPr>
                <w:sz w:val="24"/>
                <w:szCs w:val="24"/>
              </w:rPr>
            </w:pPr>
            <w:r w:rsidRPr="00897F62">
              <w:rPr>
                <w:b/>
                <w:bCs/>
                <w:sz w:val="24"/>
                <w:szCs w:val="24"/>
              </w:rPr>
              <w:t>ii. STRATEGIC GOVERNANCE FRAMEWORK</w:t>
            </w:r>
          </w:p>
        </w:tc>
        <w:tc>
          <w:tcPr>
            <w:tcW w:w="1890" w:type="dxa"/>
            <w:tcBorders>
              <w:top w:val="single" w:sz="4" w:space="0" w:color="auto"/>
              <w:bottom w:val="single" w:sz="4" w:space="0" w:color="auto"/>
            </w:tcBorders>
            <w:shd w:val="clear" w:color="auto" w:fill="D9D9D9" w:themeFill="background1" w:themeFillShade="D9"/>
          </w:tcPr>
          <w:p w14:paraId="5FE31453" w14:textId="77777777" w:rsidR="00366CBF" w:rsidRPr="00D076A6" w:rsidRDefault="00366CBF" w:rsidP="007C0DE3">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_05_P7ii</w:t>
            </w:r>
          </w:p>
        </w:tc>
      </w:tr>
      <w:tr w:rsidR="00366CBF" w:rsidRPr="008A753B" w14:paraId="1030C310" w14:textId="77777777" w:rsidTr="007C0DE3">
        <w:tc>
          <w:tcPr>
            <w:tcW w:w="1596" w:type="dxa"/>
            <w:tcBorders>
              <w:top w:val="single" w:sz="4" w:space="0" w:color="auto"/>
              <w:bottom w:val="single" w:sz="4" w:space="0" w:color="auto"/>
            </w:tcBorders>
            <w:shd w:val="clear" w:color="auto" w:fill="auto"/>
          </w:tcPr>
          <w:p w14:paraId="5594BBD1" w14:textId="77777777" w:rsidR="00366CBF" w:rsidRPr="00CB5311" w:rsidRDefault="00366CBF" w:rsidP="007C0DE3">
            <w:pPr>
              <w:pStyle w:val="Heading3"/>
              <w:spacing w:before="60" w:after="60"/>
              <w:ind w:left="-106" w:right="-108"/>
              <w:rPr>
                <w:sz w:val="24"/>
              </w:rPr>
            </w:pPr>
            <w:r>
              <w:rPr>
                <w:sz w:val="24"/>
              </w:rPr>
              <w:t>11.1</w:t>
            </w:r>
          </w:p>
        </w:tc>
        <w:tc>
          <w:tcPr>
            <w:tcW w:w="8460" w:type="dxa"/>
            <w:gridSpan w:val="2"/>
            <w:tcBorders>
              <w:top w:val="single" w:sz="4" w:space="0" w:color="auto"/>
              <w:bottom w:val="single" w:sz="4" w:space="0" w:color="auto"/>
            </w:tcBorders>
            <w:shd w:val="clear" w:color="auto" w:fill="auto"/>
          </w:tcPr>
          <w:p w14:paraId="45F62D32" w14:textId="77777777" w:rsidR="00366CBF" w:rsidRPr="00D076A6" w:rsidRDefault="00366CBF" w:rsidP="007C0DE3">
            <w:pPr>
              <w:pStyle w:val="Heading3"/>
              <w:spacing w:before="60" w:after="60"/>
              <w:ind w:right="-110"/>
            </w:pPr>
            <w:r w:rsidRPr="0069595F">
              <w:rPr>
                <w:rFonts w:cstheme="minorHAnsi"/>
                <w:sz w:val="24"/>
              </w:rPr>
              <w:t xml:space="preserve">The Committee received the </w:t>
            </w:r>
            <w:r>
              <w:rPr>
                <w:rFonts w:cstheme="minorHAnsi"/>
                <w:sz w:val="24"/>
              </w:rPr>
              <w:t>internal audit</w:t>
            </w:r>
            <w:r w:rsidRPr="0069595F">
              <w:rPr>
                <w:rFonts w:cstheme="minorHAnsi"/>
                <w:sz w:val="24"/>
              </w:rPr>
              <w:t xml:space="preserve"> report</w:t>
            </w:r>
            <w:r>
              <w:rPr>
                <w:rFonts w:cstheme="minorHAnsi"/>
                <w:sz w:val="24"/>
              </w:rPr>
              <w:t xml:space="preserve"> on strategic governance framework which had been rated as low risk.</w:t>
            </w:r>
          </w:p>
        </w:tc>
      </w:tr>
      <w:tr w:rsidR="00501B3E" w:rsidRPr="008A753B" w14:paraId="3C2628FC" w14:textId="77777777" w:rsidTr="007C0DE3">
        <w:tc>
          <w:tcPr>
            <w:tcW w:w="1596" w:type="dxa"/>
            <w:tcBorders>
              <w:top w:val="single" w:sz="4" w:space="0" w:color="auto"/>
              <w:bottom w:val="single" w:sz="4" w:space="0" w:color="auto"/>
            </w:tcBorders>
            <w:shd w:val="clear" w:color="auto" w:fill="D9D9D9" w:themeFill="background1" w:themeFillShade="D9"/>
          </w:tcPr>
          <w:p w14:paraId="6C5FA5A3" w14:textId="77777777" w:rsidR="00501B3E" w:rsidRDefault="00501B3E" w:rsidP="007C0DE3">
            <w:pPr>
              <w:pStyle w:val="Heading3"/>
              <w:spacing w:before="60" w:after="60"/>
              <w:ind w:left="-106" w:right="-108"/>
            </w:pPr>
            <w:r>
              <w:t>ARC_2023_10_05_12</w:t>
            </w:r>
          </w:p>
        </w:tc>
        <w:tc>
          <w:tcPr>
            <w:tcW w:w="6570" w:type="dxa"/>
            <w:tcBorders>
              <w:top w:val="single" w:sz="4" w:space="0" w:color="auto"/>
              <w:bottom w:val="single" w:sz="4" w:space="0" w:color="auto"/>
            </w:tcBorders>
            <w:shd w:val="clear" w:color="auto" w:fill="D9D9D9" w:themeFill="background1" w:themeFillShade="D9"/>
          </w:tcPr>
          <w:p w14:paraId="2C625ABF" w14:textId="77777777" w:rsidR="00501B3E" w:rsidRPr="008A753B" w:rsidRDefault="00501B3E" w:rsidP="007C0DE3">
            <w:pPr>
              <w:pStyle w:val="Heading2"/>
            </w:pPr>
            <w:r w:rsidRPr="00D803CC">
              <w:t xml:space="preserve">DRAFT INTERNAL AUDIT </w:t>
            </w:r>
            <w:r>
              <w:t>REPORT</w:t>
            </w:r>
            <w:r w:rsidRPr="00D803CC">
              <w:t xml:space="preserve"> 2022/23</w:t>
            </w:r>
          </w:p>
        </w:tc>
        <w:tc>
          <w:tcPr>
            <w:tcW w:w="1890" w:type="dxa"/>
            <w:tcBorders>
              <w:top w:val="single" w:sz="4" w:space="0" w:color="auto"/>
              <w:bottom w:val="single" w:sz="4" w:space="0" w:color="auto"/>
            </w:tcBorders>
            <w:shd w:val="clear" w:color="auto" w:fill="D9D9D9" w:themeFill="background1" w:themeFillShade="D9"/>
          </w:tcPr>
          <w:p w14:paraId="54402707" w14:textId="77777777" w:rsidR="00501B3E" w:rsidRPr="00D076A6" w:rsidRDefault="00501B3E" w:rsidP="007C0DE3">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_05_P10</w:t>
            </w:r>
          </w:p>
        </w:tc>
      </w:tr>
      <w:tr w:rsidR="00501B3E" w:rsidRPr="0099243C" w14:paraId="0C1CCB79" w14:textId="77777777" w:rsidTr="007C0DE3">
        <w:tc>
          <w:tcPr>
            <w:tcW w:w="1596" w:type="dxa"/>
            <w:tcBorders>
              <w:top w:val="single" w:sz="4" w:space="0" w:color="auto"/>
              <w:bottom w:val="single" w:sz="4" w:space="0" w:color="auto"/>
            </w:tcBorders>
            <w:shd w:val="clear" w:color="auto" w:fill="auto"/>
          </w:tcPr>
          <w:p w14:paraId="418FEEF1" w14:textId="77777777" w:rsidR="00501B3E" w:rsidRPr="0099243C" w:rsidRDefault="00501B3E" w:rsidP="007C0DE3">
            <w:pPr>
              <w:pStyle w:val="Heading3"/>
              <w:spacing w:before="60" w:after="60"/>
              <w:ind w:left="-106" w:right="-108"/>
              <w:rPr>
                <w:sz w:val="24"/>
              </w:rPr>
            </w:pPr>
            <w:r>
              <w:rPr>
                <w:sz w:val="24"/>
              </w:rPr>
              <w:t>12.1</w:t>
            </w:r>
          </w:p>
        </w:tc>
        <w:tc>
          <w:tcPr>
            <w:tcW w:w="8460" w:type="dxa"/>
            <w:gridSpan w:val="2"/>
            <w:tcBorders>
              <w:top w:val="single" w:sz="4" w:space="0" w:color="auto"/>
              <w:bottom w:val="single" w:sz="4" w:space="0" w:color="auto"/>
            </w:tcBorders>
            <w:shd w:val="clear" w:color="auto" w:fill="auto"/>
          </w:tcPr>
          <w:p w14:paraId="49CE5842" w14:textId="77777777" w:rsidR="00501B3E" w:rsidRPr="00092A44" w:rsidRDefault="00501B3E" w:rsidP="007C0DE3">
            <w:pPr>
              <w:pStyle w:val="Heading3"/>
              <w:spacing w:before="60" w:after="60"/>
              <w:ind w:right="-110"/>
            </w:pPr>
            <w:r w:rsidRPr="00092A44">
              <w:rPr>
                <w:sz w:val="24"/>
              </w:rPr>
              <w:t xml:space="preserve">The Committee received PwC’s </w:t>
            </w:r>
            <w:r>
              <w:rPr>
                <w:sz w:val="24"/>
              </w:rPr>
              <w:t>draft</w:t>
            </w:r>
            <w:r w:rsidRPr="00092A44">
              <w:rPr>
                <w:sz w:val="24"/>
              </w:rPr>
              <w:t xml:space="preserve"> internal audit </w:t>
            </w:r>
            <w:r>
              <w:rPr>
                <w:sz w:val="24"/>
              </w:rPr>
              <w:t xml:space="preserve">report </w:t>
            </w:r>
            <w:r w:rsidRPr="00092A44">
              <w:rPr>
                <w:sz w:val="24"/>
              </w:rPr>
              <w:t>202</w:t>
            </w:r>
            <w:r>
              <w:rPr>
                <w:sz w:val="24"/>
              </w:rPr>
              <w:t>2</w:t>
            </w:r>
            <w:r w:rsidRPr="00092A44">
              <w:rPr>
                <w:sz w:val="24"/>
              </w:rPr>
              <w:t>/2</w:t>
            </w:r>
            <w:r>
              <w:rPr>
                <w:sz w:val="24"/>
              </w:rPr>
              <w:t>3. It was noted that PwC’s internal audit reports gave one of 4 opinions – substantial assurance, reasonable/moderate assurance, limited assurance, or no assurance. The vast majority of PwC’s clients fell within the reasonable/moderate and limited assurance categories. The proposed level of assurance within the report for Sheffield Hallam was reasonable/moderate which indicted that in general controls were operating.</w:t>
            </w:r>
          </w:p>
        </w:tc>
      </w:tr>
      <w:tr w:rsidR="00366CBF" w:rsidRPr="008A753B" w14:paraId="4456FDBF" w14:textId="77777777" w:rsidTr="00FD69CA">
        <w:tc>
          <w:tcPr>
            <w:tcW w:w="1596" w:type="dxa"/>
            <w:tcBorders>
              <w:top w:val="single" w:sz="4" w:space="0" w:color="auto"/>
              <w:bottom w:val="nil"/>
            </w:tcBorders>
          </w:tcPr>
          <w:p w14:paraId="4477AB37" w14:textId="77777777" w:rsidR="00366CBF" w:rsidRDefault="00366CBF" w:rsidP="000C3EDD">
            <w:pPr>
              <w:spacing w:before="60" w:after="60"/>
              <w:ind w:left="-106" w:right="-108"/>
              <w:rPr>
                <w:sz w:val="24"/>
                <w:szCs w:val="24"/>
              </w:rPr>
            </w:pPr>
          </w:p>
        </w:tc>
        <w:tc>
          <w:tcPr>
            <w:tcW w:w="8460" w:type="dxa"/>
            <w:gridSpan w:val="2"/>
            <w:tcBorders>
              <w:top w:val="single" w:sz="4" w:space="0" w:color="auto"/>
              <w:bottom w:val="nil"/>
            </w:tcBorders>
          </w:tcPr>
          <w:p w14:paraId="3DF03CBD" w14:textId="77777777" w:rsidR="00366CBF" w:rsidRPr="0069595F" w:rsidRDefault="00366CBF" w:rsidP="00C11B9A">
            <w:pPr>
              <w:pStyle w:val="Heading3"/>
              <w:spacing w:before="60" w:after="60"/>
              <w:ind w:right="-110"/>
              <w:rPr>
                <w:rFonts w:cstheme="minorHAnsi"/>
                <w:sz w:val="24"/>
              </w:rPr>
            </w:pPr>
          </w:p>
        </w:tc>
      </w:tr>
      <w:tr w:rsidR="00897F62" w:rsidRPr="008A753B" w14:paraId="6B81F31A" w14:textId="77777777" w:rsidTr="00FD69CA">
        <w:tc>
          <w:tcPr>
            <w:tcW w:w="1596" w:type="dxa"/>
            <w:tcBorders>
              <w:top w:val="single" w:sz="4" w:space="0" w:color="auto"/>
              <w:bottom w:val="single" w:sz="4" w:space="0" w:color="auto"/>
            </w:tcBorders>
            <w:shd w:val="clear" w:color="auto" w:fill="auto"/>
          </w:tcPr>
          <w:p w14:paraId="166A1FC9" w14:textId="6E1B611E" w:rsidR="00897F62" w:rsidRDefault="00F4341E" w:rsidP="00172CB8">
            <w:pPr>
              <w:pStyle w:val="Heading3"/>
              <w:spacing w:before="60" w:after="60"/>
              <w:ind w:left="-106" w:right="-108"/>
              <w:rPr>
                <w:sz w:val="24"/>
              </w:rPr>
            </w:pPr>
            <w:r>
              <w:rPr>
                <w:sz w:val="24"/>
              </w:rPr>
              <w:lastRenderedPageBreak/>
              <w:t>12.2</w:t>
            </w:r>
          </w:p>
        </w:tc>
        <w:tc>
          <w:tcPr>
            <w:tcW w:w="8460" w:type="dxa"/>
            <w:gridSpan w:val="2"/>
            <w:tcBorders>
              <w:top w:val="single" w:sz="4" w:space="0" w:color="auto"/>
              <w:bottom w:val="single" w:sz="4" w:space="0" w:color="auto"/>
            </w:tcBorders>
            <w:shd w:val="clear" w:color="auto" w:fill="auto"/>
          </w:tcPr>
          <w:p w14:paraId="00522C81" w14:textId="0731E12C" w:rsidR="00897F62" w:rsidRPr="0069595F" w:rsidRDefault="00F945C2" w:rsidP="00F945C2">
            <w:pPr>
              <w:pStyle w:val="Heading3"/>
              <w:spacing w:before="60" w:after="60"/>
              <w:ind w:right="-110"/>
              <w:rPr>
                <w:rFonts w:cstheme="minorHAnsi"/>
                <w:sz w:val="24"/>
              </w:rPr>
            </w:pPr>
            <w:r>
              <w:rPr>
                <w:rFonts w:cstheme="minorHAnsi"/>
                <w:sz w:val="24"/>
              </w:rPr>
              <w:t>T</w:t>
            </w:r>
            <w:r w:rsidRPr="00F945C2">
              <w:rPr>
                <w:rFonts w:cstheme="minorHAnsi"/>
                <w:sz w:val="24"/>
              </w:rPr>
              <w:t xml:space="preserve">here </w:t>
            </w:r>
            <w:r>
              <w:rPr>
                <w:rFonts w:cstheme="minorHAnsi"/>
                <w:sz w:val="24"/>
              </w:rPr>
              <w:t>we</w:t>
            </w:r>
            <w:r w:rsidRPr="00F945C2">
              <w:rPr>
                <w:rFonts w:cstheme="minorHAnsi"/>
                <w:sz w:val="24"/>
              </w:rPr>
              <w:t>re some areas of</w:t>
            </w:r>
            <w:r>
              <w:rPr>
                <w:rFonts w:cstheme="minorHAnsi"/>
                <w:sz w:val="24"/>
              </w:rPr>
              <w:t xml:space="preserve"> </w:t>
            </w:r>
            <w:r w:rsidRPr="00F945C2">
              <w:rPr>
                <w:rFonts w:cstheme="minorHAnsi"/>
                <w:sz w:val="24"/>
              </w:rPr>
              <w:t>weakness and non-compliance in the</w:t>
            </w:r>
            <w:r>
              <w:rPr>
                <w:rFonts w:cstheme="minorHAnsi"/>
                <w:sz w:val="24"/>
              </w:rPr>
              <w:t xml:space="preserve"> </w:t>
            </w:r>
            <w:r w:rsidRPr="00F945C2">
              <w:rPr>
                <w:rFonts w:cstheme="minorHAnsi"/>
                <w:sz w:val="24"/>
              </w:rPr>
              <w:t>framework of governance, risk</w:t>
            </w:r>
            <w:r>
              <w:rPr>
                <w:rFonts w:cstheme="minorHAnsi"/>
                <w:sz w:val="24"/>
              </w:rPr>
              <w:t xml:space="preserve"> </w:t>
            </w:r>
            <w:r w:rsidRPr="00F945C2">
              <w:rPr>
                <w:rFonts w:cstheme="minorHAnsi"/>
                <w:sz w:val="24"/>
              </w:rPr>
              <w:t>management</w:t>
            </w:r>
            <w:r w:rsidR="002F27F8">
              <w:rPr>
                <w:rFonts w:cstheme="minorHAnsi"/>
                <w:sz w:val="24"/>
              </w:rPr>
              <w:t>,</w:t>
            </w:r>
            <w:r w:rsidRPr="00F945C2">
              <w:rPr>
                <w:rFonts w:cstheme="minorHAnsi"/>
                <w:sz w:val="24"/>
              </w:rPr>
              <w:t xml:space="preserve"> and control or value for</w:t>
            </w:r>
            <w:r>
              <w:rPr>
                <w:rFonts w:cstheme="minorHAnsi"/>
                <w:sz w:val="24"/>
              </w:rPr>
              <w:t xml:space="preserve"> </w:t>
            </w:r>
            <w:r w:rsidRPr="00F945C2">
              <w:rPr>
                <w:rFonts w:cstheme="minorHAnsi"/>
                <w:sz w:val="24"/>
              </w:rPr>
              <w:t>money arrangements which potentially put</w:t>
            </w:r>
            <w:r>
              <w:rPr>
                <w:rFonts w:cstheme="minorHAnsi"/>
                <w:sz w:val="24"/>
              </w:rPr>
              <w:t xml:space="preserve"> </w:t>
            </w:r>
            <w:r w:rsidRPr="00F945C2">
              <w:rPr>
                <w:rFonts w:cstheme="minorHAnsi"/>
                <w:sz w:val="24"/>
              </w:rPr>
              <w:t>the achievement of objectives at risk.</w:t>
            </w:r>
            <w:r>
              <w:rPr>
                <w:rFonts w:cstheme="minorHAnsi"/>
                <w:sz w:val="24"/>
              </w:rPr>
              <w:t xml:space="preserve"> </w:t>
            </w:r>
            <w:r w:rsidRPr="00F945C2">
              <w:rPr>
                <w:rFonts w:cstheme="minorHAnsi"/>
                <w:sz w:val="24"/>
              </w:rPr>
              <w:t xml:space="preserve">Improvements </w:t>
            </w:r>
            <w:r w:rsidR="00BE2889">
              <w:rPr>
                <w:rFonts w:cstheme="minorHAnsi"/>
                <w:sz w:val="24"/>
              </w:rPr>
              <w:t>we</w:t>
            </w:r>
            <w:r w:rsidRPr="00F945C2">
              <w:rPr>
                <w:rFonts w:cstheme="minorHAnsi"/>
                <w:sz w:val="24"/>
              </w:rPr>
              <w:t>re required in those areas</w:t>
            </w:r>
            <w:r>
              <w:rPr>
                <w:rFonts w:cstheme="minorHAnsi"/>
                <w:sz w:val="24"/>
              </w:rPr>
              <w:t xml:space="preserve"> </w:t>
            </w:r>
            <w:r w:rsidRPr="00F945C2">
              <w:rPr>
                <w:rFonts w:cstheme="minorHAnsi"/>
                <w:sz w:val="24"/>
              </w:rPr>
              <w:t>to enhance the adequacy and</w:t>
            </w:r>
            <w:r>
              <w:rPr>
                <w:rFonts w:cstheme="minorHAnsi"/>
                <w:sz w:val="24"/>
              </w:rPr>
              <w:t xml:space="preserve"> </w:t>
            </w:r>
            <w:r w:rsidRPr="00F945C2">
              <w:rPr>
                <w:rFonts w:cstheme="minorHAnsi"/>
                <w:sz w:val="24"/>
              </w:rPr>
              <w:t>effectiveness of governance, risk</w:t>
            </w:r>
            <w:r>
              <w:rPr>
                <w:rFonts w:cstheme="minorHAnsi"/>
                <w:sz w:val="24"/>
              </w:rPr>
              <w:t xml:space="preserve"> </w:t>
            </w:r>
            <w:r w:rsidRPr="00F945C2">
              <w:rPr>
                <w:rFonts w:cstheme="minorHAnsi"/>
                <w:sz w:val="24"/>
              </w:rPr>
              <w:t>management and control</w:t>
            </w:r>
            <w:r w:rsidR="002F27F8">
              <w:rPr>
                <w:rFonts w:cstheme="minorHAnsi"/>
                <w:sz w:val="24"/>
              </w:rPr>
              <w:t>,</w:t>
            </w:r>
            <w:r w:rsidRPr="00F945C2">
              <w:rPr>
                <w:rFonts w:cstheme="minorHAnsi"/>
                <w:sz w:val="24"/>
              </w:rPr>
              <w:t xml:space="preserve"> or value for</w:t>
            </w:r>
            <w:r>
              <w:rPr>
                <w:rFonts w:cstheme="minorHAnsi"/>
                <w:sz w:val="24"/>
              </w:rPr>
              <w:t xml:space="preserve"> </w:t>
            </w:r>
            <w:r w:rsidRPr="00F945C2">
              <w:rPr>
                <w:rFonts w:cstheme="minorHAnsi"/>
                <w:sz w:val="24"/>
              </w:rPr>
              <w:t>money arrangements.</w:t>
            </w:r>
            <w:r w:rsidR="00BE2889">
              <w:rPr>
                <w:rFonts w:cstheme="minorHAnsi"/>
                <w:sz w:val="24"/>
              </w:rPr>
              <w:t xml:space="preserve"> The report provided a s</w:t>
            </w:r>
            <w:r w:rsidRPr="00F945C2">
              <w:rPr>
                <w:rFonts w:cstheme="minorHAnsi"/>
                <w:sz w:val="24"/>
              </w:rPr>
              <w:t xml:space="preserve">ummary of </w:t>
            </w:r>
            <w:r w:rsidR="00BE2889">
              <w:rPr>
                <w:rFonts w:cstheme="minorHAnsi"/>
                <w:sz w:val="24"/>
              </w:rPr>
              <w:t>f</w:t>
            </w:r>
            <w:r w:rsidRPr="00F945C2">
              <w:rPr>
                <w:rFonts w:cstheme="minorHAnsi"/>
                <w:sz w:val="24"/>
              </w:rPr>
              <w:t>indings</w:t>
            </w:r>
            <w:r w:rsidR="00A51C2F">
              <w:rPr>
                <w:rFonts w:cstheme="minorHAnsi"/>
                <w:sz w:val="24"/>
              </w:rPr>
              <w:t>.</w:t>
            </w:r>
          </w:p>
        </w:tc>
      </w:tr>
      <w:tr w:rsidR="00BE2889" w:rsidRPr="008A753B" w14:paraId="250867D8" w14:textId="77777777" w:rsidTr="00FD69CA">
        <w:tc>
          <w:tcPr>
            <w:tcW w:w="1596" w:type="dxa"/>
            <w:tcBorders>
              <w:top w:val="single" w:sz="4" w:space="0" w:color="auto"/>
              <w:bottom w:val="single" w:sz="4" w:space="0" w:color="auto"/>
            </w:tcBorders>
            <w:shd w:val="clear" w:color="auto" w:fill="auto"/>
          </w:tcPr>
          <w:p w14:paraId="1581CB33" w14:textId="354445A6" w:rsidR="00BE2889" w:rsidRDefault="00F4341E" w:rsidP="00172CB8">
            <w:pPr>
              <w:pStyle w:val="Heading3"/>
              <w:spacing w:before="60" w:after="60"/>
              <w:ind w:left="-106" w:right="-108"/>
              <w:rPr>
                <w:sz w:val="24"/>
              </w:rPr>
            </w:pPr>
            <w:r>
              <w:rPr>
                <w:sz w:val="24"/>
              </w:rPr>
              <w:t>12.3</w:t>
            </w:r>
          </w:p>
        </w:tc>
        <w:tc>
          <w:tcPr>
            <w:tcW w:w="8460" w:type="dxa"/>
            <w:gridSpan w:val="2"/>
            <w:tcBorders>
              <w:top w:val="single" w:sz="4" w:space="0" w:color="auto"/>
              <w:bottom w:val="single" w:sz="4" w:space="0" w:color="auto"/>
            </w:tcBorders>
            <w:shd w:val="clear" w:color="auto" w:fill="auto"/>
          </w:tcPr>
          <w:p w14:paraId="2F5D3008" w14:textId="53281B6F" w:rsidR="00BE2889" w:rsidRDefault="00BE2889" w:rsidP="00F945C2">
            <w:pPr>
              <w:pStyle w:val="Heading3"/>
              <w:spacing w:before="60" w:after="60"/>
              <w:ind w:right="-110"/>
              <w:rPr>
                <w:rFonts w:cstheme="minorHAnsi"/>
                <w:sz w:val="24"/>
              </w:rPr>
            </w:pPr>
            <w:r>
              <w:rPr>
                <w:rFonts w:cstheme="minorHAnsi"/>
                <w:sz w:val="24"/>
              </w:rPr>
              <w:t>The report provided a mapping of the internal audit work during 2022/23 against the key areas of ARC opinion (with the exception of sustainability)</w:t>
            </w:r>
            <w:r w:rsidR="00A51C2F">
              <w:rPr>
                <w:rFonts w:cstheme="minorHAnsi"/>
                <w:sz w:val="24"/>
              </w:rPr>
              <w:t>. The ARC’s opinion on the required matters</w:t>
            </w:r>
            <w:r>
              <w:rPr>
                <w:rFonts w:cstheme="minorHAnsi"/>
                <w:sz w:val="24"/>
              </w:rPr>
              <w:t xml:space="preserve"> would be reported in the Committee’s annual opinion report </w:t>
            </w:r>
            <w:r w:rsidR="00A51C2F">
              <w:rPr>
                <w:rFonts w:cstheme="minorHAnsi"/>
                <w:sz w:val="24"/>
              </w:rPr>
              <w:t>which would be agreed at</w:t>
            </w:r>
            <w:r>
              <w:rPr>
                <w:rFonts w:cstheme="minorHAnsi"/>
                <w:sz w:val="24"/>
              </w:rPr>
              <w:t xml:space="preserve"> the 16 November 2023 meeting</w:t>
            </w:r>
            <w:r w:rsidR="00A51C2F">
              <w:rPr>
                <w:rFonts w:cstheme="minorHAnsi"/>
                <w:sz w:val="24"/>
              </w:rPr>
              <w:t xml:space="preserve"> for report to the Board of Governors on 2</w:t>
            </w:r>
            <w:r w:rsidR="00FC50E0">
              <w:rPr>
                <w:rFonts w:cstheme="minorHAnsi"/>
                <w:sz w:val="24"/>
              </w:rPr>
              <w:t>8</w:t>
            </w:r>
            <w:r w:rsidR="00A51C2F">
              <w:rPr>
                <w:rFonts w:cstheme="minorHAnsi"/>
                <w:sz w:val="24"/>
              </w:rPr>
              <w:t xml:space="preserve"> November 2023</w:t>
            </w:r>
            <w:r>
              <w:rPr>
                <w:rFonts w:cstheme="minorHAnsi"/>
                <w:sz w:val="24"/>
              </w:rPr>
              <w:t xml:space="preserve">. </w:t>
            </w:r>
          </w:p>
        </w:tc>
      </w:tr>
      <w:tr w:rsidR="00BE2889" w:rsidRPr="008A753B" w14:paraId="1A95EC01" w14:textId="77777777" w:rsidTr="00FD69CA">
        <w:tc>
          <w:tcPr>
            <w:tcW w:w="1596" w:type="dxa"/>
            <w:tcBorders>
              <w:top w:val="single" w:sz="4" w:space="0" w:color="auto"/>
              <w:bottom w:val="single" w:sz="4" w:space="0" w:color="auto"/>
            </w:tcBorders>
            <w:shd w:val="clear" w:color="auto" w:fill="auto"/>
          </w:tcPr>
          <w:p w14:paraId="05814388" w14:textId="16A252D5" w:rsidR="00BE2889" w:rsidRDefault="00FC50E0" w:rsidP="00172CB8">
            <w:pPr>
              <w:pStyle w:val="Heading3"/>
              <w:spacing w:before="60" w:after="60"/>
              <w:ind w:left="-106" w:right="-108"/>
              <w:rPr>
                <w:sz w:val="24"/>
              </w:rPr>
            </w:pPr>
            <w:r>
              <w:rPr>
                <w:sz w:val="24"/>
              </w:rPr>
              <w:t>12.4</w:t>
            </w:r>
          </w:p>
        </w:tc>
        <w:tc>
          <w:tcPr>
            <w:tcW w:w="8460" w:type="dxa"/>
            <w:gridSpan w:val="2"/>
            <w:tcBorders>
              <w:top w:val="single" w:sz="4" w:space="0" w:color="auto"/>
              <w:bottom w:val="single" w:sz="4" w:space="0" w:color="auto"/>
            </w:tcBorders>
            <w:shd w:val="clear" w:color="auto" w:fill="auto"/>
          </w:tcPr>
          <w:p w14:paraId="4B085AF3" w14:textId="4B614636" w:rsidR="00BE2889" w:rsidRDefault="00BE2889" w:rsidP="00F945C2">
            <w:pPr>
              <w:pStyle w:val="Heading3"/>
              <w:spacing w:before="60" w:after="60"/>
              <w:ind w:right="-110"/>
              <w:rPr>
                <w:rFonts w:cstheme="minorHAnsi"/>
                <w:sz w:val="24"/>
              </w:rPr>
            </w:pPr>
            <w:r>
              <w:rPr>
                <w:rFonts w:cstheme="minorHAnsi"/>
                <w:sz w:val="24"/>
              </w:rPr>
              <w:t xml:space="preserve">PwC’s final report would include details of the three outstanding </w:t>
            </w:r>
            <w:r w:rsidR="002F27F8">
              <w:rPr>
                <w:rFonts w:cstheme="minorHAnsi"/>
                <w:sz w:val="24"/>
              </w:rPr>
              <w:t xml:space="preserve">2023/24 </w:t>
            </w:r>
            <w:r>
              <w:rPr>
                <w:rFonts w:cstheme="minorHAnsi"/>
                <w:sz w:val="24"/>
              </w:rPr>
              <w:t xml:space="preserve">internal audit </w:t>
            </w:r>
            <w:r w:rsidR="00EC6CFE">
              <w:rPr>
                <w:rFonts w:cstheme="minorHAnsi"/>
                <w:sz w:val="24"/>
              </w:rPr>
              <w:t>reports</w:t>
            </w:r>
            <w:r>
              <w:rPr>
                <w:rFonts w:cstheme="minorHAnsi"/>
                <w:sz w:val="24"/>
              </w:rPr>
              <w:t>. The level of assurance within the report was not expected to change.</w:t>
            </w:r>
          </w:p>
        </w:tc>
      </w:tr>
      <w:tr w:rsidR="00C738EA" w:rsidRPr="008A753B" w14:paraId="532562EF" w14:textId="77777777" w:rsidTr="00FD69CA">
        <w:tc>
          <w:tcPr>
            <w:tcW w:w="1596" w:type="dxa"/>
            <w:tcBorders>
              <w:top w:val="single" w:sz="4" w:space="0" w:color="auto"/>
              <w:bottom w:val="single" w:sz="4" w:space="0" w:color="auto"/>
            </w:tcBorders>
            <w:shd w:val="clear" w:color="auto" w:fill="D9D9D9" w:themeFill="background1" w:themeFillShade="D9"/>
          </w:tcPr>
          <w:p w14:paraId="57122D0E" w14:textId="33594C79" w:rsidR="00C738EA" w:rsidRDefault="000C1BDF" w:rsidP="00172CB8">
            <w:pPr>
              <w:pStyle w:val="Heading3"/>
              <w:spacing w:before="60" w:after="60"/>
              <w:ind w:left="-106" w:right="-108"/>
            </w:pPr>
            <w:r>
              <w:t>ARC_2023_10_05_</w:t>
            </w:r>
            <w:r w:rsidR="00F4341E">
              <w:t>13</w:t>
            </w:r>
          </w:p>
        </w:tc>
        <w:tc>
          <w:tcPr>
            <w:tcW w:w="6570" w:type="dxa"/>
            <w:tcBorders>
              <w:top w:val="single" w:sz="4" w:space="0" w:color="auto"/>
              <w:bottom w:val="single" w:sz="4" w:space="0" w:color="auto"/>
            </w:tcBorders>
            <w:shd w:val="clear" w:color="auto" w:fill="D9D9D9" w:themeFill="background1" w:themeFillShade="D9"/>
          </w:tcPr>
          <w:p w14:paraId="6F5768C5" w14:textId="2ABF2A86" w:rsidR="00C738EA" w:rsidRPr="008A753B" w:rsidRDefault="00D803CC" w:rsidP="00172CB8">
            <w:pPr>
              <w:pStyle w:val="Heading2"/>
            </w:pPr>
            <w:r w:rsidRPr="00D803CC">
              <w:t>INTERNAL AUDIT PLAN 202</w:t>
            </w:r>
            <w:r w:rsidR="00F945C2">
              <w:t>3</w:t>
            </w:r>
            <w:r w:rsidRPr="00D803CC">
              <w:t>/2</w:t>
            </w:r>
            <w:r w:rsidR="00F945C2">
              <w:t>4</w:t>
            </w:r>
            <w:r w:rsidR="008D6191">
              <w:t xml:space="preserve"> DRAFT</w:t>
            </w:r>
          </w:p>
        </w:tc>
        <w:tc>
          <w:tcPr>
            <w:tcW w:w="1890" w:type="dxa"/>
            <w:tcBorders>
              <w:top w:val="single" w:sz="4" w:space="0" w:color="auto"/>
              <w:bottom w:val="single" w:sz="4" w:space="0" w:color="auto"/>
            </w:tcBorders>
            <w:shd w:val="clear" w:color="auto" w:fill="D9D9D9" w:themeFill="background1" w:themeFillShade="D9"/>
          </w:tcPr>
          <w:p w14:paraId="075B42FC" w14:textId="5CF064C0" w:rsidR="00C738EA" w:rsidRPr="00D076A6" w:rsidRDefault="008D6191" w:rsidP="00E55260">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_05_P11</w:t>
            </w:r>
          </w:p>
        </w:tc>
      </w:tr>
      <w:tr w:rsidR="0099243C" w:rsidRPr="0099243C" w14:paraId="76BA1ADF" w14:textId="77777777" w:rsidTr="00FD69CA">
        <w:tc>
          <w:tcPr>
            <w:tcW w:w="1596" w:type="dxa"/>
            <w:tcBorders>
              <w:top w:val="single" w:sz="4" w:space="0" w:color="auto"/>
              <w:bottom w:val="single" w:sz="4" w:space="0" w:color="auto"/>
            </w:tcBorders>
            <w:shd w:val="clear" w:color="auto" w:fill="auto"/>
          </w:tcPr>
          <w:p w14:paraId="664C673D" w14:textId="7EE1D60E" w:rsidR="0099243C" w:rsidRPr="0099243C" w:rsidRDefault="0099243C" w:rsidP="00172CB8">
            <w:pPr>
              <w:pStyle w:val="Heading3"/>
              <w:spacing w:before="60" w:after="60"/>
              <w:ind w:left="-106" w:right="-108"/>
              <w:rPr>
                <w:sz w:val="24"/>
              </w:rPr>
            </w:pPr>
            <w:r>
              <w:rPr>
                <w:sz w:val="24"/>
              </w:rPr>
              <w:t>1</w:t>
            </w:r>
            <w:r w:rsidR="00F4341E">
              <w:rPr>
                <w:sz w:val="24"/>
              </w:rPr>
              <w:t>3</w:t>
            </w:r>
            <w:r>
              <w:rPr>
                <w:sz w:val="24"/>
              </w:rPr>
              <w:t>.1</w:t>
            </w:r>
          </w:p>
        </w:tc>
        <w:tc>
          <w:tcPr>
            <w:tcW w:w="8460" w:type="dxa"/>
            <w:gridSpan w:val="2"/>
            <w:tcBorders>
              <w:top w:val="single" w:sz="4" w:space="0" w:color="auto"/>
              <w:bottom w:val="single" w:sz="4" w:space="0" w:color="auto"/>
            </w:tcBorders>
            <w:shd w:val="clear" w:color="auto" w:fill="auto"/>
          </w:tcPr>
          <w:p w14:paraId="6732BD28" w14:textId="6F541401" w:rsidR="00F945C2" w:rsidRDefault="001F01CB" w:rsidP="00092A44">
            <w:pPr>
              <w:pStyle w:val="Heading3"/>
              <w:spacing w:before="60" w:after="60"/>
              <w:ind w:right="-110"/>
              <w:rPr>
                <w:sz w:val="24"/>
              </w:rPr>
            </w:pPr>
            <w:r w:rsidRPr="00092A44">
              <w:rPr>
                <w:sz w:val="24"/>
              </w:rPr>
              <w:t xml:space="preserve">The Committee received PwC’s </w:t>
            </w:r>
            <w:r w:rsidR="00F945C2">
              <w:rPr>
                <w:sz w:val="24"/>
              </w:rPr>
              <w:t>revised</w:t>
            </w:r>
            <w:r w:rsidR="00F945C2" w:rsidRPr="00092A44">
              <w:rPr>
                <w:sz w:val="24"/>
              </w:rPr>
              <w:t xml:space="preserve"> 202</w:t>
            </w:r>
            <w:r w:rsidR="00F945C2">
              <w:rPr>
                <w:sz w:val="24"/>
              </w:rPr>
              <w:t>3</w:t>
            </w:r>
            <w:r w:rsidR="00F945C2" w:rsidRPr="00092A44">
              <w:rPr>
                <w:sz w:val="24"/>
              </w:rPr>
              <w:t>/2</w:t>
            </w:r>
            <w:r w:rsidR="00F945C2">
              <w:rPr>
                <w:sz w:val="24"/>
              </w:rPr>
              <w:t>4</w:t>
            </w:r>
            <w:r w:rsidR="00F945C2" w:rsidRPr="00092A44">
              <w:rPr>
                <w:sz w:val="24"/>
              </w:rPr>
              <w:t xml:space="preserve"> internal audit plan</w:t>
            </w:r>
            <w:r w:rsidR="00F945C2">
              <w:rPr>
                <w:sz w:val="24"/>
              </w:rPr>
              <w:t xml:space="preserve"> and noted the following changes had been made since the draft plan had been considered at the last meeting (minute ARC/2023-06-22/15 refers)</w:t>
            </w:r>
            <w:r w:rsidR="00BE2889">
              <w:rPr>
                <w:sz w:val="24"/>
              </w:rPr>
              <w:t>:</w:t>
            </w:r>
          </w:p>
          <w:p w14:paraId="46C30316" w14:textId="295C78C1" w:rsidR="00BE2889" w:rsidRPr="00BE2889" w:rsidRDefault="00B11D7D" w:rsidP="00BE2889">
            <w:pPr>
              <w:pStyle w:val="ListParagraph"/>
              <w:numPr>
                <w:ilvl w:val="0"/>
                <w:numId w:val="20"/>
              </w:numPr>
              <w:rPr>
                <w:sz w:val="24"/>
                <w:szCs w:val="24"/>
              </w:rPr>
            </w:pPr>
            <w:r>
              <w:rPr>
                <w:sz w:val="24"/>
                <w:szCs w:val="24"/>
              </w:rPr>
              <w:t>c</w:t>
            </w:r>
            <w:r w:rsidR="00BE2889" w:rsidRPr="00BE2889">
              <w:rPr>
                <w:sz w:val="24"/>
                <w:szCs w:val="24"/>
              </w:rPr>
              <w:t xml:space="preserve">ombining the HE policy and financial environment with the key financial </w:t>
            </w:r>
            <w:r w:rsidR="00F4341E" w:rsidRPr="00BE2889">
              <w:rPr>
                <w:sz w:val="24"/>
                <w:szCs w:val="24"/>
              </w:rPr>
              <w:t>controls</w:t>
            </w:r>
            <w:r w:rsidR="00BE2889" w:rsidRPr="00BE2889">
              <w:rPr>
                <w:sz w:val="24"/>
                <w:szCs w:val="24"/>
              </w:rPr>
              <w:t xml:space="preserve"> review</w:t>
            </w:r>
            <w:r w:rsidR="00BE2889">
              <w:rPr>
                <w:sz w:val="24"/>
                <w:szCs w:val="24"/>
              </w:rPr>
              <w:t xml:space="preserve">. The scope of the reviews would not be reduced but this would save audit days </w:t>
            </w:r>
            <w:r w:rsidR="00F4341E">
              <w:rPr>
                <w:sz w:val="24"/>
                <w:szCs w:val="24"/>
              </w:rPr>
              <w:t>on development of terms of reference, reporting etc</w:t>
            </w:r>
            <w:r w:rsidR="00BE2889" w:rsidRPr="00BE2889">
              <w:rPr>
                <w:sz w:val="24"/>
                <w:szCs w:val="24"/>
              </w:rPr>
              <w:t>;</w:t>
            </w:r>
          </w:p>
          <w:p w14:paraId="2F515356" w14:textId="06764BA2" w:rsidR="00BE2889" w:rsidRPr="00BE2889" w:rsidRDefault="00B11D7D" w:rsidP="00BE2889">
            <w:pPr>
              <w:pStyle w:val="ListParagraph"/>
              <w:numPr>
                <w:ilvl w:val="0"/>
                <w:numId w:val="20"/>
              </w:numPr>
              <w:rPr>
                <w:sz w:val="24"/>
                <w:szCs w:val="24"/>
              </w:rPr>
            </w:pPr>
            <w:r>
              <w:rPr>
                <w:sz w:val="24"/>
                <w:szCs w:val="24"/>
              </w:rPr>
              <w:t>d</w:t>
            </w:r>
            <w:r w:rsidR="00BE2889" w:rsidRPr="00BE2889">
              <w:rPr>
                <w:sz w:val="24"/>
                <w:szCs w:val="24"/>
              </w:rPr>
              <w:t>eferring the research and innovation review to 2024/25</w:t>
            </w:r>
            <w:r>
              <w:rPr>
                <w:sz w:val="24"/>
                <w:szCs w:val="24"/>
              </w:rPr>
              <w:t>;</w:t>
            </w:r>
          </w:p>
          <w:p w14:paraId="22FC9500" w14:textId="55196BAE" w:rsidR="00366CBF" w:rsidRPr="00366CBF" w:rsidRDefault="00B11D7D" w:rsidP="00FD1218">
            <w:pPr>
              <w:pStyle w:val="ListParagraph"/>
              <w:numPr>
                <w:ilvl w:val="0"/>
                <w:numId w:val="20"/>
              </w:numPr>
              <w:rPr>
                <w:sz w:val="24"/>
                <w:szCs w:val="24"/>
              </w:rPr>
            </w:pPr>
            <w:r w:rsidRPr="00366CBF">
              <w:rPr>
                <w:sz w:val="24"/>
                <w:szCs w:val="24"/>
              </w:rPr>
              <w:t>a</w:t>
            </w:r>
            <w:r w:rsidR="00BE2889" w:rsidRPr="00366CBF">
              <w:rPr>
                <w:sz w:val="24"/>
                <w:szCs w:val="24"/>
              </w:rPr>
              <w:t xml:space="preserve">dding a review of UKVI (student) – this review would have a lead sponsor of </w:t>
            </w:r>
            <w:r w:rsidRPr="00366CBF">
              <w:rPr>
                <w:sz w:val="24"/>
                <w:szCs w:val="24"/>
              </w:rPr>
              <w:t>Chris Wigginton</w:t>
            </w:r>
            <w:r w:rsidR="00BE2889" w:rsidRPr="00366CBF">
              <w:rPr>
                <w:sz w:val="24"/>
                <w:szCs w:val="24"/>
              </w:rPr>
              <w:t xml:space="preserve">. This had been added in </w:t>
            </w:r>
            <w:r w:rsidR="00F4341E" w:rsidRPr="00366CBF">
              <w:rPr>
                <w:sz w:val="24"/>
                <w:szCs w:val="24"/>
              </w:rPr>
              <w:t>response</w:t>
            </w:r>
            <w:r w:rsidR="00BE2889" w:rsidRPr="00366CBF">
              <w:rPr>
                <w:sz w:val="24"/>
                <w:szCs w:val="24"/>
              </w:rPr>
              <w:t xml:space="preserve"> to the expectation that the University’s compliance with its sponsor licence would be audited by UKVI within the next 2 years</w:t>
            </w:r>
            <w:r w:rsidRPr="00366CBF">
              <w:rPr>
                <w:sz w:val="24"/>
                <w:szCs w:val="24"/>
              </w:rPr>
              <w:t>.</w:t>
            </w:r>
          </w:p>
          <w:p w14:paraId="4CFBE62D" w14:textId="1CDF735E" w:rsidR="00366CBF" w:rsidRPr="00092A44" w:rsidRDefault="00F4341E" w:rsidP="00366CBF">
            <w:r w:rsidRPr="00F4341E">
              <w:rPr>
                <w:sz w:val="24"/>
                <w:szCs w:val="24"/>
              </w:rPr>
              <w:t xml:space="preserve">The Committee </w:t>
            </w:r>
            <w:r w:rsidRPr="00F4341E">
              <w:rPr>
                <w:b/>
                <w:bCs/>
                <w:sz w:val="24"/>
                <w:szCs w:val="24"/>
              </w:rPr>
              <w:t>approved</w:t>
            </w:r>
            <w:r>
              <w:rPr>
                <w:sz w:val="24"/>
                <w:szCs w:val="24"/>
              </w:rPr>
              <w:t xml:space="preserve"> the plan.</w:t>
            </w:r>
          </w:p>
        </w:tc>
      </w:tr>
      <w:tr w:rsidR="00501B3E" w:rsidRPr="008A753B" w14:paraId="7575B95D" w14:textId="77777777" w:rsidTr="007C0DE3">
        <w:tc>
          <w:tcPr>
            <w:tcW w:w="1596" w:type="dxa"/>
            <w:tcBorders>
              <w:top w:val="single" w:sz="4" w:space="0" w:color="auto"/>
              <w:bottom w:val="single" w:sz="4" w:space="0" w:color="auto"/>
            </w:tcBorders>
            <w:shd w:val="clear" w:color="auto" w:fill="D9D9D9" w:themeFill="background1" w:themeFillShade="D9"/>
          </w:tcPr>
          <w:p w14:paraId="18FBE029" w14:textId="77777777" w:rsidR="00501B3E" w:rsidRDefault="00501B3E" w:rsidP="007C0DE3">
            <w:pPr>
              <w:pStyle w:val="Heading3"/>
              <w:spacing w:before="60" w:after="60"/>
              <w:ind w:left="-106" w:right="-108"/>
            </w:pPr>
            <w:r>
              <w:t>ARC_2023_10_05_14</w:t>
            </w:r>
          </w:p>
        </w:tc>
        <w:tc>
          <w:tcPr>
            <w:tcW w:w="6570" w:type="dxa"/>
            <w:tcBorders>
              <w:top w:val="single" w:sz="4" w:space="0" w:color="auto"/>
              <w:bottom w:val="single" w:sz="4" w:space="0" w:color="auto"/>
            </w:tcBorders>
            <w:shd w:val="clear" w:color="auto" w:fill="D9D9D9" w:themeFill="background1" w:themeFillShade="D9"/>
          </w:tcPr>
          <w:p w14:paraId="11D3506D" w14:textId="77777777" w:rsidR="00501B3E" w:rsidRPr="001B260D" w:rsidRDefault="00501B3E" w:rsidP="007C0DE3">
            <w:pPr>
              <w:pStyle w:val="Heading2"/>
              <w:rPr>
                <w:szCs w:val="24"/>
              </w:rPr>
            </w:pPr>
            <w:r w:rsidRPr="001B260D">
              <w:rPr>
                <w:bCs/>
                <w:szCs w:val="24"/>
              </w:rPr>
              <w:t>UPDATE ON EXTERNAL AUDIT</w:t>
            </w:r>
          </w:p>
        </w:tc>
        <w:tc>
          <w:tcPr>
            <w:tcW w:w="1890" w:type="dxa"/>
            <w:tcBorders>
              <w:top w:val="single" w:sz="4" w:space="0" w:color="auto"/>
              <w:bottom w:val="single" w:sz="4" w:space="0" w:color="auto"/>
            </w:tcBorders>
            <w:shd w:val="clear" w:color="auto" w:fill="D9D9D9" w:themeFill="background1" w:themeFillShade="D9"/>
          </w:tcPr>
          <w:p w14:paraId="72C11CAB" w14:textId="77777777" w:rsidR="00501B3E" w:rsidRPr="00D076A6" w:rsidRDefault="00501B3E" w:rsidP="007C0DE3">
            <w:pPr>
              <w:pStyle w:val="Heading3"/>
              <w:spacing w:before="60" w:after="60"/>
              <w:ind w:left="-113" w:right="-110"/>
              <w:jc w:val="right"/>
            </w:pPr>
          </w:p>
        </w:tc>
      </w:tr>
      <w:tr w:rsidR="00501B3E" w:rsidRPr="008A753B" w14:paraId="0FA88194" w14:textId="77777777" w:rsidTr="007C0DE3">
        <w:tc>
          <w:tcPr>
            <w:tcW w:w="1596" w:type="dxa"/>
            <w:tcBorders>
              <w:top w:val="single" w:sz="4" w:space="0" w:color="auto"/>
              <w:bottom w:val="single" w:sz="4" w:space="0" w:color="auto"/>
            </w:tcBorders>
            <w:shd w:val="clear" w:color="auto" w:fill="auto"/>
          </w:tcPr>
          <w:p w14:paraId="40551EB2" w14:textId="77777777" w:rsidR="00501B3E" w:rsidRPr="008035FA" w:rsidRDefault="00501B3E" w:rsidP="007C0DE3">
            <w:pPr>
              <w:pStyle w:val="Heading3"/>
              <w:spacing w:before="60" w:after="60"/>
              <w:ind w:left="-106" w:right="-108"/>
              <w:rPr>
                <w:sz w:val="24"/>
              </w:rPr>
            </w:pPr>
            <w:r w:rsidRPr="008035FA">
              <w:rPr>
                <w:sz w:val="24"/>
              </w:rPr>
              <w:t>1</w:t>
            </w:r>
            <w:r>
              <w:rPr>
                <w:sz w:val="24"/>
              </w:rPr>
              <w:t>4</w:t>
            </w:r>
            <w:r w:rsidRPr="008035FA">
              <w:rPr>
                <w:sz w:val="24"/>
              </w:rPr>
              <w:t>.1</w:t>
            </w:r>
          </w:p>
        </w:tc>
        <w:tc>
          <w:tcPr>
            <w:tcW w:w="8460" w:type="dxa"/>
            <w:gridSpan w:val="2"/>
            <w:tcBorders>
              <w:top w:val="single" w:sz="4" w:space="0" w:color="auto"/>
              <w:bottom w:val="single" w:sz="4" w:space="0" w:color="auto"/>
            </w:tcBorders>
            <w:shd w:val="clear" w:color="auto" w:fill="auto"/>
          </w:tcPr>
          <w:p w14:paraId="1C875A86" w14:textId="77777777" w:rsidR="00501B3E" w:rsidRPr="008035FA" w:rsidRDefault="00501B3E" w:rsidP="007C0DE3">
            <w:pPr>
              <w:pStyle w:val="Heading3"/>
              <w:spacing w:before="60" w:after="60"/>
              <w:ind w:right="-110"/>
              <w:rPr>
                <w:sz w:val="24"/>
              </w:rPr>
            </w:pPr>
            <w:r w:rsidRPr="008035FA">
              <w:rPr>
                <w:sz w:val="24"/>
              </w:rPr>
              <w:t>Grant Thornton reported that the external audit was progressing well</w:t>
            </w:r>
            <w:r>
              <w:rPr>
                <w:sz w:val="24"/>
              </w:rPr>
              <w:t>. Work on going concern was outstanding and a plan to complete was in place. UEB had discussed medium term financial scenarios which would inform the 5-year financial forecast for submission to the Office for Students and the medium term financial strategy. These would be discussed at the Board of Governors strategy event and would inform the going concern assessment.</w:t>
            </w:r>
          </w:p>
        </w:tc>
      </w:tr>
      <w:tr w:rsidR="00501B3E" w:rsidRPr="008A753B" w14:paraId="0655C572" w14:textId="77777777" w:rsidTr="007C0DE3">
        <w:tc>
          <w:tcPr>
            <w:tcW w:w="1596" w:type="dxa"/>
            <w:tcBorders>
              <w:top w:val="single" w:sz="4" w:space="0" w:color="auto"/>
              <w:bottom w:val="single" w:sz="4" w:space="0" w:color="auto"/>
            </w:tcBorders>
            <w:shd w:val="clear" w:color="auto" w:fill="auto"/>
          </w:tcPr>
          <w:p w14:paraId="5B396AE2" w14:textId="77777777" w:rsidR="00501B3E" w:rsidRPr="008035FA" w:rsidRDefault="00501B3E" w:rsidP="007C0DE3">
            <w:pPr>
              <w:pStyle w:val="Heading3"/>
              <w:spacing w:before="60" w:after="60"/>
              <w:ind w:left="-106" w:right="-108"/>
              <w:rPr>
                <w:sz w:val="24"/>
              </w:rPr>
            </w:pPr>
            <w:r>
              <w:rPr>
                <w:sz w:val="24"/>
              </w:rPr>
              <w:t>14.2</w:t>
            </w:r>
          </w:p>
        </w:tc>
        <w:tc>
          <w:tcPr>
            <w:tcW w:w="8460" w:type="dxa"/>
            <w:gridSpan w:val="2"/>
            <w:tcBorders>
              <w:top w:val="single" w:sz="4" w:space="0" w:color="auto"/>
              <w:bottom w:val="single" w:sz="4" w:space="0" w:color="auto"/>
            </w:tcBorders>
            <w:shd w:val="clear" w:color="auto" w:fill="auto"/>
          </w:tcPr>
          <w:p w14:paraId="44C64BC6" w14:textId="77777777" w:rsidR="00501B3E" w:rsidRPr="008035FA" w:rsidRDefault="00501B3E" w:rsidP="007C0DE3">
            <w:pPr>
              <w:pStyle w:val="Heading3"/>
              <w:spacing w:before="60" w:after="60"/>
              <w:ind w:right="-110"/>
              <w:rPr>
                <w:sz w:val="24"/>
              </w:rPr>
            </w:pPr>
            <w:r>
              <w:rPr>
                <w:sz w:val="24"/>
              </w:rPr>
              <w:t>In relation to covenant compliance it was noted that the CFO did not have any concerns about breaching requirements. Prudent assumptions of the interest rate would be included in future budgets.</w:t>
            </w:r>
          </w:p>
        </w:tc>
      </w:tr>
      <w:tr w:rsidR="00501B3E" w:rsidRPr="008A753B" w14:paraId="55093A64" w14:textId="77777777" w:rsidTr="007C0DE3">
        <w:tc>
          <w:tcPr>
            <w:tcW w:w="1596" w:type="dxa"/>
            <w:tcBorders>
              <w:top w:val="single" w:sz="4" w:space="0" w:color="auto"/>
              <w:bottom w:val="single" w:sz="4" w:space="0" w:color="auto"/>
            </w:tcBorders>
            <w:shd w:val="clear" w:color="auto" w:fill="D9D9D9" w:themeFill="background1" w:themeFillShade="D9"/>
          </w:tcPr>
          <w:p w14:paraId="05C2258C" w14:textId="77777777" w:rsidR="00501B3E" w:rsidRDefault="00501B3E" w:rsidP="007C0DE3">
            <w:pPr>
              <w:pStyle w:val="Heading3"/>
              <w:spacing w:before="60" w:after="60"/>
              <w:ind w:left="-106" w:right="-108"/>
            </w:pPr>
            <w:r>
              <w:t>ARC_2023_10_05_15</w:t>
            </w:r>
          </w:p>
        </w:tc>
        <w:tc>
          <w:tcPr>
            <w:tcW w:w="6570" w:type="dxa"/>
            <w:tcBorders>
              <w:top w:val="single" w:sz="4" w:space="0" w:color="auto"/>
              <w:bottom w:val="single" w:sz="4" w:space="0" w:color="auto"/>
            </w:tcBorders>
            <w:shd w:val="clear" w:color="auto" w:fill="D9D9D9" w:themeFill="background1" w:themeFillShade="D9"/>
          </w:tcPr>
          <w:p w14:paraId="042710F4" w14:textId="77777777" w:rsidR="00501B3E" w:rsidRPr="008A753B" w:rsidRDefault="00501B3E" w:rsidP="007C0DE3">
            <w:pPr>
              <w:pStyle w:val="Heading2"/>
            </w:pPr>
            <w:r w:rsidRPr="001E52A0">
              <w:rPr>
                <w:bCs/>
              </w:rPr>
              <w:t>ANNUAL VALUE FOR MONEY REPORT 202</w:t>
            </w:r>
            <w:r>
              <w:rPr>
                <w:bCs/>
              </w:rPr>
              <w:t>2</w:t>
            </w:r>
            <w:r w:rsidRPr="001E52A0">
              <w:rPr>
                <w:bCs/>
              </w:rPr>
              <w:t>/2</w:t>
            </w:r>
            <w:r>
              <w:rPr>
                <w:bCs/>
              </w:rPr>
              <w:t>3</w:t>
            </w:r>
          </w:p>
        </w:tc>
        <w:tc>
          <w:tcPr>
            <w:tcW w:w="1890" w:type="dxa"/>
            <w:tcBorders>
              <w:top w:val="single" w:sz="4" w:space="0" w:color="auto"/>
              <w:bottom w:val="single" w:sz="4" w:space="0" w:color="auto"/>
            </w:tcBorders>
            <w:shd w:val="clear" w:color="auto" w:fill="D9D9D9" w:themeFill="background1" w:themeFillShade="D9"/>
          </w:tcPr>
          <w:p w14:paraId="69C210BE" w14:textId="77777777" w:rsidR="00501B3E" w:rsidRPr="00D076A6" w:rsidRDefault="00501B3E" w:rsidP="007C0DE3">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_05_P13</w:t>
            </w:r>
          </w:p>
        </w:tc>
      </w:tr>
      <w:tr w:rsidR="00501B3E" w:rsidRPr="0099243C" w14:paraId="5298CD54" w14:textId="77777777" w:rsidTr="00FD69CA">
        <w:tc>
          <w:tcPr>
            <w:tcW w:w="1596" w:type="dxa"/>
            <w:tcBorders>
              <w:top w:val="single" w:sz="4" w:space="0" w:color="auto"/>
              <w:bottom w:val="single" w:sz="4" w:space="0" w:color="auto"/>
            </w:tcBorders>
            <w:shd w:val="clear" w:color="auto" w:fill="auto"/>
          </w:tcPr>
          <w:p w14:paraId="09F54B75" w14:textId="4658F196" w:rsidR="00501B3E" w:rsidRDefault="00501B3E" w:rsidP="00172CB8">
            <w:pPr>
              <w:pStyle w:val="Heading3"/>
              <w:spacing w:before="60" w:after="60"/>
              <w:ind w:left="-106" w:right="-108"/>
              <w:rPr>
                <w:sz w:val="24"/>
              </w:rPr>
            </w:pPr>
            <w:r w:rsidRPr="00B11D7D">
              <w:rPr>
                <w:sz w:val="24"/>
              </w:rPr>
              <w:t>15.1</w:t>
            </w:r>
          </w:p>
        </w:tc>
        <w:tc>
          <w:tcPr>
            <w:tcW w:w="8460" w:type="dxa"/>
            <w:gridSpan w:val="2"/>
            <w:tcBorders>
              <w:top w:val="single" w:sz="4" w:space="0" w:color="auto"/>
              <w:bottom w:val="single" w:sz="4" w:space="0" w:color="auto"/>
            </w:tcBorders>
            <w:shd w:val="clear" w:color="auto" w:fill="auto"/>
          </w:tcPr>
          <w:p w14:paraId="225C864C" w14:textId="5AD25E31" w:rsidR="00501B3E" w:rsidRPr="00092A44" w:rsidRDefault="00501B3E" w:rsidP="00501B3E">
            <w:pPr>
              <w:spacing w:before="60" w:after="60"/>
              <w:rPr>
                <w:sz w:val="24"/>
              </w:rPr>
            </w:pPr>
            <w:r w:rsidRPr="00194BA4">
              <w:rPr>
                <w:sz w:val="24"/>
              </w:rPr>
              <w:t>The Committee received the annual value for money report 202</w:t>
            </w:r>
            <w:r>
              <w:rPr>
                <w:sz w:val="24"/>
              </w:rPr>
              <w:t>2</w:t>
            </w:r>
            <w:r w:rsidRPr="00194BA4">
              <w:rPr>
                <w:sz w:val="24"/>
              </w:rPr>
              <w:t>/2</w:t>
            </w:r>
            <w:r>
              <w:rPr>
                <w:sz w:val="24"/>
              </w:rPr>
              <w:t>3</w:t>
            </w:r>
            <w:r w:rsidRPr="00194BA4">
              <w:rPr>
                <w:sz w:val="24"/>
              </w:rPr>
              <w:t xml:space="preserve"> which provided assurance to the Committee that</w:t>
            </w:r>
            <w:r w:rsidRPr="00A518F9">
              <w:rPr>
                <w:sz w:val="24"/>
              </w:rPr>
              <w:t xml:space="preserve"> University continue</w:t>
            </w:r>
            <w:r>
              <w:rPr>
                <w:sz w:val="24"/>
              </w:rPr>
              <w:t>d</w:t>
            </w:r>
            <w:r w:rsidRPr="00A518F9">
              <w:rPr>
                <w:sz w:val="24"/>
              </w:rPr>
              <w:t xml:space="preserve"> </w:t>
            </w:r>
            <w:r>
              <w:rPr>
                <w:sz w:val="24"/>
              </w:rPr>
              <w:t xml:space="preserve">to </w:t>
            </w:r>
            <w:r w:rsidRPr="00A518F9">
              <w:rPr>
                <w:sz w:val="24"/>
              </w:rPr>
              <w:t xml:space="preserve">offer </w:t>
            </w:r>
            <w:proofErr w:type="spellStart"/>
            <w:r>
              <w:rPr>
                <w:sz w:val="24"/>
              </w:rPr>
              <w:t>VfM</w:t>
            </w:r>
            <w:proofErr w:type="spellEnd"/>
            <w:r w:rsidRPr="00A518F9">
              <w:rPr>
                <w:sz w:val="24"/>
              </w:rPr>
              <w:t xml:space="preserve"> to students and taxpayers in line with the OfS Value for Money strategy</w:t>
            </w:r>
            <w:r>
              <w:rPr>
                <w:sz w:val="24"/>
              </w:rPr>
              <w:t xml:space="preserve"> (which ran from 2019 to 2021 and had not been updated by the OfS)</w:t>
            </w:r>
            <w:r w:rsidRPr="00194BA4">
              <w:rPr>
                <w:sz w:val="24"/>
              </w:rPr>
              <w:t>. The report also informed the</w:t>
            </w:r>
            <w:r>
              <w:rPr>
                <w:sz w:val="24"/>
              </w:rPr>
              <w:t xml:space="preserve"> Committee’s </w:t>
            </w:r>
            <w:r w:rsidRPr="00194BA4">
              <w:rPr>
                <w:sz w:val="24"/>
                <w:szCs w:val="24"/>
              </w:rPr>
              <w:t>duty to satisfy itself that arrangements were in place to promote economy, efficiency</w:t>
            </w:r>
            <w:r>
              <w:rPr>
                <w:sz w:val="24"/>
                <w:szCs w:val="24"/>
              </w:rPr>
              <w:t>,</w:t>
            </w:r>
            <w:r w:rsidRPr="00194BA4">
              <w:rPr>
                <w:sz w:val="24"/>
                <w:szCs w:val="24"/>
              </w:rPr>
              <w:t xml:space="preserve"> and effectiveness</w:t>
            </w:r>
            <w:r>
              <w:rPr>
                <w:sz w:val="24"/>
                <w:szCs w:val="24"/>
              </w:rPr>
              <w:t xml:space="preserve">, which would be reported in its </w:t>
            </w:r>
            <w:r w:rsidRPr="000276AD">
              <w:rPr>
                <w:sz w:val="24"/>
                <w:szCs w:val="24"/>
              </w:rPr>
              <w:t xml:space="preserve">annual </w:t>
            </w:r>
            <w:r>
              <w:rPr>
                <w:sz w:val="24"/>
                <w:szCs w:val="24"/>
              </w:rPr>
              <w:t>opinions</w:t>
            </w:r>
            <w:r w:rsidRPr="000276AD">
              <w:rPr>
                <w:sz w:val="24"/>
                <w:szCs w:val="24"/>
              </w:rPr>
              <w:t xml:space="preserve"> report (report A</w:t>
            </w:r>
            <w:r>
              <w:rPr>
                <w:sz w:val="24"/>
                <w:szCs w:val="24"/>
              </w:rPr>
              <w:t>RC/2022-11-14</w:t>
            </w:r>
            <w:r w:rsidRPr="000276AD">
              <w:rPr>
                <w:sz w:val="24"/>
                <w:szCs w:val="24"/>
              </w:rPr>
              <w:t>/</w:t>
            </w:r>
            <w:r>
              <w:rPr>
                <w:sz w:val="24"/>
                <w:szCs w:val="24"/>
              </w:rPr>
              <w:t>P16</w:t>
            </w:r>
            <w:r w:rsidRPr="000276AD">
              <w:rPr>
                <w:sz w:val="24"/>
                <w:szCs w:val="24"/>
              </w:rPr>
              <w:t>)</w:t>
            </w:r>
            <w:r w:rsidRPr="00194BA4">
              <w:rPr>
                <w:sz w:val="24"/>
                <w:szCs w:val="24"/>
              </w:rPr>
              <w:t>. The following was highlighted</w:t>
            </w:r>
            <w:r>
              <w:rPr>
                <w:sz w:val="24"/>
                <w:szCs w:val="24"/>
              </w:rPr>
              <w:t>:</w:t>
            </w:r>
          </w:p>
        </w:tc>
      </w:tr>
    </w:tbl>
    <w:p w14:paraId="5596B85E" w14:textId="77777777" w:rsidR="00366CBF" w:rsidRDefault="00366CBF"/>
    <w:tbl>
      <w:tblPr>
        <w:tblStyle w:val="TableGrid"/>
        <w:tblW w:w="10056"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6"/>
        <w:gridCol w:w="6570"/>
        <w:gridCol w:w="1890"/>
      </w:tblGrid>
      <w:tr w:rsidR="00C738EA" w:rsidRPr="008A753B" w14:paraId="71F3CA83" w14:textId="77777777" w:rsidTr="00FD69CA">
        <w:tc>
          <w:tcPr>
            <w:tcW w:w="1596" w:type="dxa"/>
            <w:tcBorders>
              <w:top w:val="single" w:sz="4" w:space="0" w:color="auto"/>
              <w:bottom w:val="single" w:sz="4" w:space="0" w:color="auto"/>
            </w:tcBorders>
            <w:shd w:val="clear" w:color="auto" w:fill="D9D9D9" w:themeFill="background1" w:themeFillShade="D9"/>
          </w:tcPr>
          <w:p w14:paraId="48056A59" w14:textId="2DF22AE4" w:rsidR="00C738EA" w:rsidRDefault="000C1BDF" w:rsidP="00172CB8">
            <w:pPr>
              <w:pStyle w:val="Heading3"/>
              <w:spacing w:before="60" w:after="60"/>
              <w:ind w:left="-106" w:right="-108"/>
            </w:pPr>
            <w:r>
              <w:t>ARC_2023_10_05_</w:t>
            </w:r>
            <w:r w:rsidR="00884743">
              <w:t>15</w:t>
            </w:r>
          </w:p>
        </w:tc>
        <w:tc>
          <w:tcPr>
            <w:tcW w:w="6570" w:type="dxa"/>
            <w:tcBorders>
              <w:top w:val="single" w:sz="4" w:space="0" w:color="auto"/>
              <w:bottom w:val="single" w:sz="4" w:space="0" w:color="auto"/>
            </w:tcBorders>
            <w:shd w:val="clear" w:color="auto" w:fill="D9D9D9" w:themeFill="background1" w:themeFillShade="D9"/>
          </w:tcPr>
          <w:p w14:paraId="12CDB16D" w14:textId="6E14BE8A" w:rsidR="00C738EA" w:rsidRPr="008A753B" w:rsidRDefault="00D803CC" w:rsidP="00172CB8">
            <w:pPr>
              <w:pStyle w:val="Heading2"/>
            </w:pPr>
            <w:r w:rsidRPr="001E52A0">
              <w:rPr>
                <w:bCs/>
              </w:rPr>
              <w:t>ANNUAL VALUE FOR MONEY REPORT 202</w:t>
            </w:r>
            <w:r w:rsidR="008D6191">
              <w:rPr>
                <w:bCs/>
              </w:rPr>
              <w:t>2</w:t>
            </w:r>
            <w:r w:rsidRPr="001E52A0">
              <w:rPr>
                <w:bCs/>
              </w:rPr>
              <w:t>/2</w:t>
            </w:r>
            <w:r w:rsidR="008D6191">
              <w:rPr>
                <w:bCs/>
              </w:rPr>
              <w:t>3</w:t>
            </w:r>
          </w:p>
        </w:tc>
        <w:tc>
          <w:tcPr>
            <w:tcW w:w="1890" w:type="dxa"/>
            <w:tcBorders>
              <w:top w:val="single" w:sz="4" w:space="0" w:color="auto"/>
              <w:bottom w:val="single" w:sz="4" w:space="0" w:color="auto"/>
            </w:tcBorders>
            <w:shd w:val="clear" w:color="auto" w:fill="D9D9D9" w:themeFill="background1" w:themeFillShade="D9"/>
          </w:tcPr>
          <w:p w14:paraId="781C54F2" w14:textId="39A9E6BD" w:rsidR="00C738EA" w:rsidRPr="00D076A6" w:rsidRDefault="008D6191" w:rsidP="0099243C">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_05_P13</w:t>
            </w:r>
          </w:p>
        </w:tc>
      </w:tr>
      <w:tr w:rsidR="00B11D7D" w:rsidRPr="00B11D7D" w14:paraId="7874FA93" w14:textId="77777777" w:rsidTr="00FD69CA">
        <w:tc>
          <w:tcPr>
            <w:tcW w:w="1596" w:type="dxa"/>
            <w:tcBorders>
              <w:top w:val="single" w:sz="4" w:space="0" w:color="auto"/>
              <w:bottom w:val="single" w:sz="4" w:space="0" w:color="auto"/>
            </w:tcBorders>
            <w:shd w:val="clear" w:color="auto" w:fill="FFFFFF" w:themeFill="background1"/>
          </w:tcPr>
          <w:p w14:paraId="099C29A8" w14:textId="6EFEF70F" w:rsidR="00B11D7D" w:rsidRPr="00B11D7D" w:rsidRDefault="00B11D7D" w:rsidP="00172CB8">
            <w:pPr>
              <w:pStyle w:val="Heading3"/>
              <w:spacing w:before="60" w:after="60"/>
              <w:ind w:left="-106" w:right="-108"/>
              <w:rPr>
                <w:sz w:val="24"/>
              </w:rPr>
            </w:pPr>
          </w:p>
        </w:tc>
        <w:tc>
          <w:tcPr>
            <w:tcW w:w="8460" w:type="dxa"/>
            <w:gridSpan w:val="2"/>
            <w:tcBorders>
              <w:top w:val="single" w:sz="4" w:space="0" w:color="auto"/>
              <w:bottom w:val="single" w:sz="4" w:space="0" w:color="auto"/>
            </w:tcBorders>
            <w:shd w:val="clear" w:color="auto" w:fill="FFFFFF" w:themeFill="background1"/>
          </w:tcPr>
          <w:p w14:paraId="2ED02EC8" w14:textId="77777777" w:rsidR="00366CBF" w:rsidRDefault="00366CBF" w:rsidP="00366CBF">
            <w:pPr>
              <w:pStyle w:val="Heading3"/>
              <w:numPr>
                <w:ilvl w:val="0"/>
                <w:numId w:val="21"/>
              </w:numPr>
              <w:spacing w:before="60" w:after="60"/>
              <w:ind w:right="-110"/>
            </w:pPr>
            <w:r>
              <w:rPr>
                <w:sz w:val="24"/>
              </w:rPr>
              <w:t>i</w:t>
            </w:r>
            <w:r w:rsidRPr="00DF3EBD">
              <w:rPr>
                <w:sz w:val="24"/>
              </w:rPr>
              <w:t xml:space="preserve">n relation to student outcomes the continuation rates </w:t>
            </w:r>
            <w:r>
              <w:rPr>
                <w:sz w:val="24"/>
              </w:rPr>
              <w:t>(percentage</w:t>
            </w:r>
            <w:r w:rsidRPr="00DF3EBD">
              <w:rPr>
                <w:sz w:val="24"/>
              </w:rPr>
              <w:t xml:space="preserve"> of students returning in their second year) of full-time First Degree students dropped in the most recent year matching a pattern seen across the sector and completion rates</w:t>
            </w:r>
            <w:r w:rsidRPr="00DF3EBD">
              <w:rPr>
                <w:b/>
                <w:bCs/>
                <w:sz w:val="24"/>
              </w:rPr>
              <w:t xml:space="preserve"> </w:t>
            </w:r>
            <w:r w:rsidRPr="00DF3EBD">
              <w:rPr>
                <w:sz w:val="24"/>
              </w:rPr>
              <w:t>(the proportion of students from a cohort who completed their degree)</w:t>
            </w:r>
            <w:r w:rsidRPr="00DF3EBD">
              <w:rPr>
                <w:b/>
                <w:bCs/>
                <w:sz w:val="24"/>
              </w:rPr>
              <w:t xml:space="preserve"> </w:t>
            </w:r>
            <w:r w:rsidRPr="00DF3EBD">
              <w:rPr>
                <w:sz w:val="24"/>
              </w:rPr>
              <w:t>had</w:t>
            </w:r>
            <w:r w:rsidRPr="00DF3EBD">
              <w:rPr>
                <w:b/>
                <w:bCs/>
                <w:sz w:val="24"/>
              </w:rPr>
              <w:t xml:space="preserve"> </w:t>
            </w:r>
            <w:r w:rsidRPr="00DF3EBD">
              <w:rPr>
                <w:sz w:val="24"/>
              </w:rPr>
              <w:t>fallen slightly over the previous three years, again matching a pattern seen across the sector;</w:t>
            </w:r>
          </w:p>
          <w:p w14:paraId="039F80C8" w14:textId="77777777" w:rsidR="00366CBF" w:rsidRDefault="00366CBF" w:rsidP="00366CBF">
            <w:pPr>
              <w:pStyle w:val="ListParagraph"/>
              <w:numPr>
                <w:ilvl w:val="0"/>
                <w:numId w:val="21"/>
              </w:numPr>
              <w:rPr>
                <w:sz w:val="24"/>
                <w:szCs w:val="24"/>
              </w:rPr>
            </w:pPr>
            <w:r>
              <w:rPr>
                <w:sz w:val="24"/>
                <w:szCs w:val="24"/>
              </w:rPr>
              <w:t>u</w:t>
            </w:r>
            <w:r w:rsidRPr="00DF3EBD">
              <w:rPr>
                <w:sz w:val="24"/>
                <w:szCs w:val="24"/>
              </w:rPr>
              <w:t>ndergraduate satisfaction scores, as measured through the National Student Survey (NSS), ha</w:t>
            </w:r>
            <w:r>
              <w:rPr>
                <w:sz w:val="24"/>
                <w:szCs w:val="24"/>
              </w:rPr>
              <w:t>d</w:t>
            </w:r>
            <w:r w:rsidRPr="00DF3EBD">
              <w:rPr>
                <w:sz w:val="24"/>
                <w:szCs w:val="24"/>
              </w:rPr>
              <w:t xml:space="preserve"> not </w:t>
            </w:r>
            <w:r>
              <w:rPr>
                <w:sz w:val="24"/>
                <w:szCs w:val="24"/>
              </w:rPr>
              <w:t>returned to</w:t>
            </w:r>
            <w:r w:rsidRPr="00DF3EBD">
              <w:rPr>
                <w:sz w:val="24"/>
                <w:szCs w:val="24"/>
              </w:rPr>
              <w:t xml:space="preserve"> the high levels seen pre-pandemic, particularly in the areas related to organisation and management (including communication between students and staff). </w:t>
            </w:r>
            <w:r>
              <w:rPr>
                <w:sz w:val="24"/>
                <w:szCs w:val="24"/>
              </w:rPr>
              <w:t>An action plan was in place to address student experience and satisfaction;</w:t>
            </w:r>
          </w:p>
          <w:p w14:paraId="01B0D8AC" w14:textId="191C2F22" w:rsidR="00B11D7D" w:rsidRPr="00B11D7D" w:rsidRDefault="00366CBF" w:rsidP="00E1368E">
            <w:pPr>
              <w:pStyle w:val="Heading3"/>
              <w:numPr>
                <w:ilvl w:val="0"/>
                <w:numId w:val="21"/>
              </w:numPr>
              <w:spacing w:before="60" w:after="60"/>
              <w:ind w:right="-110"/>
              <w:rPr>
                <w:sz w:val="24"/>
              </w:rPr>
            </w:pPr>
            <w:r>
              <w:rPr>
                <w:sz w:val="24"/>
              </w:rPr>
              <w:t>t</w:t>
            </w:r>
            <w:r w:rsidRPr="002973B3">
              <w:rPr>
                <w:sz w:val="24"/>
              </w:rPr>
              <w:t xml:space="preserve">he wider impact </w:t>
            </w:r>
            <w:r>
              <w:rPr>
                <w:sz w:val="24"/>
              </w:rPr>
              <w:t>of</w:t>
            </w:r>
            <w:r w:rsidRPr="002973B3">
              <w:rPr>
                <w:sz w:val="24"/>
              </w:rPr>
              <w:t xml:space="preserve"> </w:t>
            </w:r>
            <w:r>
              <w:rPr>
                <w:sz w:val="24"/>
              </w:rPr>
              <w:t>the University</w:t>
            </w:r>
            <w:r w:rsidRPr="002973B3">
              <w:rPr>
                <w:sz w:val="24"/>
              </w:rPr>
              <w:t xml:space="preserve"> </w:t>
            </w:r>
            <w:r>
              <w:rPr>
                <w:sz w:val="24"/>
              </w:rPr>
              <w:t>had</w:t>
            </w:r>
            <w:r w:rsidRPr="002973B3">
              <w:rPr>
                <w:sz w:val="24"/>
              </w:rPr>
              <w:t xml:space="preserve"> been recognised in the Times Higher Education Impact world rankings. These rankings, by looking at research outputs, policies and procedures in place, and key selected metrics, </w:t>
            </w:r>
            <w:r>
              <w:rPr>
                <w:sz w:val="24"/>
              </w:rPr>
              <w:t>sought</w:t>
            </w:r>
            <w:r w:rsidRPr="002973B3">
              <w:rPr>
                <w:sz w:val="24"/>
              </w:rPr>
              <w:t xml:space="preserve"> to rank Universities around the world on the impact that they ha</w:t>
            </w:r>
            <w:r>
              <w:rPr>
                <w:sz w:val="24"/>
              </w:rPr>
              <w:t>d</w:t>
            </w:r>
            <w:r w:rsidRPr="002973B3">
              <w:rPr>
                <w:sz w:val="24"/>
              </w:rPr>
              <w:t xml:space="preserve"> on each of the UN’s Sustainable Development Goals</w:t>
            </w:r>
            <w:r>
              <w:rPr>
                <w:sz w:val="24"/>
              </w:rPr>
              <w:t>. The University</w:t>
            </w:r>
            <w:r w:rsidRPr="004F2DB0">
              <w:rPr>
                <w:sz w:val="24"/>
              </w:rPr>
              <w:t xml:space="preserve"> ranked in the top 100 (out of 900-1200 institutions) in four of the tables, including a ranking of </w:t>
            </w:r>
            <w:r>
              <w:rPr>
                <w:sz w:val="24"/>
              </w:rPr>
              <w:t>ninth</w:t>
            </w:r>
            <w:r w:rsidRPr="004F2DB0">
              <w:rPr>
                <w:sz w:val="24"/>
              </w:rPr>
              <w:t xml:space="preserve"> for </w:t>
            </w:r>
            <w:r>
              <w:rPr>
                <w:sz w:val="24"/>
              </w:rPr>
              <w:t>its</w:t>
            </w:r>
            <w:r w:rsidRPr="004F2DB0">
              <w:rPr>
                <w:sz w:val="24"/>
              </w:rPr>
              <w:t xml:space="preserve"> impact on reducing inequalities. The University was placed in the top 200 of four other tables</w:t>
            </w:r>
            <w:r>
              <w:rPr>
                <w:sz w:val="24"/>
              </w:rPr>
              <w:t>.</w:t>
            </w:r>
          </w:p>
        </w:tc>
      </w:tr>
      <w:tr w:rsidR="00501B3E" w:rsidRPr="008A753B" w14:paraId="678A27CE" w14:textId="77777777" w:rsidTr="007C0DE3">
        <w:tc>
          <w:tcPr>
            <w:tcW w:w="1596" w:type="dxa"/>
            <w:tcBorders>
              <w:top w:val="single" w:sz="4" w:space="0" w:color="auto"/>
              <w:bottom w:val="single" w:sz="4" w:space="0" w:color="auto"/>
            </w:tcBorders>
            <w:shd w:val="clear" w:color="auto" w:fill="D9D9D9" w:themeFill="background1" w:themeFillShade="D9"/>
          </w:tcPr>
          <w:p w14:paraId="4D68F7A0" w14:textId="77777777" w:rsidR="00501B3E" w:rsidRDefault="00501B3E" w:rsidP="007C0DE3">
            <w:pPr>
              <w:pStyle w:val="Heading3"/>
              <w:spacing w:before="60" w:after="60"/>
              <w:ind w:left="-106" w:right="-108"/>
            </w:pPr>
            <w:r>
              <w:t>ARC_2023_10_05_16</w:t>
            </w:r>
          </w:p>
        </w:tc>
        <w:tc>
          <w:tcPr>
            <w:tcW w:w="6570" w:type="dxa"/>
            <w:tcBorders>
              <w:top w:val="single" w:sz="4" w:space="0" w:color="auto"/>
              <w:bottom w:val="single" w:sz="4" w:space="0" w:color="auto"/>
            </w:tcBorders>
            <w:shd w:val="clear" w:color="auto" w:fill="D9D9D9" w:themeFill="background1" w:themeFillShade="D9"/>
          </w:tcPr>
          <w:p w14:paraId="4EF08EF7" w14:textId="77777777" w:rsidR="00501B3E" w:rsidRPr="008A753B" w:rsidRDefault="00501B3E" w:rsidP="007C0DE3">
            <w:pPr>
              <w:pStyle w:val="Heading2"/>
            </w:pPr>
            <w:r w:rsidRPr="005E1593">
              <w:rPr>
                <w:bCs/>
              </w:rPr>
              <w:t xml:space="preserve">ANNUAL </w:t>
            </w:r>
            <w:r>
              <w:rPr>
                <w:bCs/>
              </w:rPr>
              <w:t xml:space="preserve">EFFECTIVENESS </w:t>
            </w:r>
            <w:r w:rsidRPr="005E1593">
              <w:rPr>
                <w:bCs/>
              </w:rPr>
              <w:t xml:space="preserve">REVIEW </w:t>
            </w:r>
            <w:r w:rsidRPr="005E1593">
              <w:rPr>
                <w:szCs w:val="24"/>
              </w:rPr>
              <w:t>AND COMMITTEE TERMS OF REFERENCE</w:t>
            </w:r>
          </w:p>
        </w:tc>
        <w:tc>
          <w:tcPr>
            <w:tcW w:w="1890" w:type="dxa"/>
            <w:tcBorders>
              <w:top w:val="single" w:sz="4" w:space="0" w:color="auto"/>
              <w:bottom w:val="single" w:sz="4" w:space="0" w:color="auto"/>
            </w:tcBorders>
            <w:shd w:val="clear" w:color="auto" w:fill="D9D9D9" w:themeFill="background1" w:themeFillShade="D9"/>
          </w:tcPr>
          <w:p w14:paraId="7DA96B66" w14:textId="77777777" w:rsidR="00501B3E" w:rsidRPr="00D076A6" w:rsidRDefault="00501B3E" w:rsidP="007C0DE3">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_05_P14</w:t>
            </w:r>
          </w:p>
        </w:tc>
      </w:tr>
      <w:tr w:rsidR="00501B3E" w:rsidRPr="008A753B" w14:paraId="63BC197F" w14:textId="77777777" w:rsidTr="007C0DE3">
        <w:tc>
          <w:tcPr>
            <w:tcW w:w="1596" w:type="dxa"/>
            <w:tcBorders>
              <w:top w:val="single" w:sz="4" w:space="0" w:color="auto"/>
              <w:bottom w:val="single" w:sz="4" w:space="0" w:color="auto"/>
            </w:tcBorders>
            <w:shd w:val="clear" w:color="auto" w:fill="auto"/>
          </w:tcPr>
          <w:p w14:paraId="48991A84" w14:textId="77777777" w:rsidR="00501B3E" w:rsidRPr="00364E40" w:rsidRDefault="00501B3E" w:rsidP="007C0DE3">
            <w:pPr>
              <w:pStyle w:val="Heading3"/>
              <w:spacing w:before="60" w:after="60"/>
              <w:ind w:left="-106" w:right="-108"/>
              <w:rPr>
                <w:sz w:val="24"/>
              </w:rPr>
            </w:pPr>
            <w:r>
              <w:rPr>
                <w:sz w:val="24"/>
              </w:rPr>
              <w:t>16.1</w:t>
            </w:r>
          </w:p>
        </w:tc>
        <w:tc>
          <w:tcPr>
            <w:tcW w:w="8460" w:type="dxa"/>
            <w:gridSpan w:val="2"/>
            <w:tcBorders>
              <w:top w:val="single" w:sz="4" w:space="0" w:color="auto"/>
              <w:bottom w:val="single" w:sz="4" w:space="0" w:color="auto"/>
            </w:tcBorders>
            <w:shd w:val="clear" w:color="auto" w:fill="auto"/>
          </w:tcPr>
          <w:p w14:paraId="349B0688" w14:textId="77777777" w:rsidR="00501B3E" w:rsidRPr="00877366" w:rsidRDefault="00501B3E" w:rsidP="007C0DE3">
            <w:pPr>
              <w:pStyle w:val="Heading3"/>
              <w:spacing w:before="60" w:after="60"/>
              <w:ind w:right="-110"/>
              <w:rPr>
                <w:sz w:val="24"/>
              </w:rPr>
            </w:pPr>
            <w:r w:rsidRPr="00877366">
              <w:rPr>
                <w:sz w:val="24"/>
              </w:rPr>
              <w:t>The Committee noted the report and that the annual Board level survey had been conducted which had reported to the Governance and Nominations Committee on Board level themes</w:t>
            </w:r>
            <w:r>
              <w:rPr>
                <w:sz w:val="24"/>
              </w:rPr>
              <w:t xml:space="preserve">. This </w:t>
            </w:r>
            <w:r w:rsidRPr="00877366">
              <w:rPr>
                <w:sz w:val="24"/>
              </w:rPr>
              <w:t>would form the basis of the Board strategy event discussion on how the Board worked. In relation to ARC the following was noted:</w:t>
            </w:r>
          </w:p>
          <w:p w14:paraId="3A565B4F" w14:textId="77777777" w:rsidR="00501B3E" w:rsidRPr="00877366" w:rsidRDefault="00501B3E" w:rsidP="007C0DE3">
            <w:pPr>
              <w:pStyle w:val="ListParagraph"/>
              <w:numPr>
                <w:ilvl w:val="0"/>
                <w:numId w:val="22"/>
              </w:numPr>
              <w:rPr>
                <w:sz w:val="24"/>
                <w:szCs w:val="24"/>
              </w:rPr>
            </w:pPr>
            <w:r w:rsidRPr="00877366">
              <w:rPr>
                <w:sz w:val="24"/>
                <w:szCs w:val="24"/>
              </w:rPr>
              <w:t>appendix 2 set out an operational review including review of compliance against the terms of reference (TOR) which confirmed that ARC has met its TORs;</w:t>
            </w:r>
          </w:p>
          <w:p w14:paraId="1DF9BF9E" w14:textId="77777777" w:rsidR="00501B3E" w:rsidRPr="00877366" w:rsidRDefault="00501B3E" w:rsidP="007C0DE3">
            <w:pPr>
              <w:pStyle w:val="ListParagraph"/>
              <w:numPr>
                <w:ilvl w:val="0"/>
                <w:numId w:val="22"/>
              </w:numPr>
              <w:rPr>
                <w:sz w:val="24"/>
                <w:szCs w:val="24"/>
              </w:rPr>
            </w:pPr>
            <w:r w:rsidRPr="00877366">
              <w:rPr>
                <w:iCs/>
                <w:color w:val="000000" w:themeColor="text1"/>
                <w:sz w:val="24"/>
                <w:szCs w:val="24"/>
              </w:rPr>
              <w:t>minor amendments had been proposed to the Committee’s terms of reference. A recommendation on revised TORs would be submitted to the Board on 13 October 2023 via the University Secretary’s report, subject to ARC approval;</w:t>
            </w:r>
          </w:p>
          <w:p w14:paraId="1138C2AE" w14:textId="77777777" w:rsidR="00501B3E" w:rsidRPr="00877366" w:rsidRDefault="00501B3E" w:rsidP="007C0DE3">
            <w:pPr>
              <w:pStyle w:val="ListParagraph"/>
              <w:numPr>
                <w:ilvl w:val="0"/>
                <w:numId w:val="22"/>
              </w:numPr>
              <w:rPr>
                <w:sz w:val="24"/>
                <w:szCs w:val="24"/>
              </w:rPr>
            </w:pPr>
            <w:r w:rsidRPr="00877366">
              <w:rPr>
                <w:sz w:val="24"/>
                <w:szCs w:val="24"/>
              </w:rPr>
              <w:t>appendix 3 confirmed compliance with CUC audit code of practice. As set out in para</w:t>
            </w:r>
            <w:r>
              <w:rPr>
                <w:sz w:val="24"/>
                <w:szCs w:val="24"/>
              </w:rPr>
              <w:t>graph</w:t>
            </w:r>
            <w:r w:rsidRPr="00877366">
              <w:rPr>
                <w:sz w:val="24"/>
                <w:szCs w:val="24"/>
              </w:rPr>
              <w:t xml:space="preserve"> 2.6 </w:t>
            </w:r>
            <w:r>
              <w:rPr>
                <w:sz w:val="24"/>
                <w:szCs w:val="24"/>
              </w:rPr>
              <w:t xml:space="preserve">of the cover paper </w:t>
            </w:r>
            <w:r w:rsidRPr="00877366">
              <w:rPr>
                <w:sz w:val="24"/>
                <w:szCs w:val="24"/>
              </w:rPr>
              <w:t>there was a need for one addition to the ARC opinion report (to 16 November 2023 meeting) to comment on sustainability.</w:t>
            </w:r>
          </w:p>
          <w:p w14:paraId="49913C1E" w14:textId="77777777" w:rsidR="00501B3E" w:rsidRPr="00C67C56" w:rsidRDefault="00501B3E" w:rsidP="007C0DE3">
            <w:pPr>
              <w:pStyle w:val="ListParagraph"/>
              <w:numPr>
                <w:ilvl w:val="0"/>
                <w:numId w:val="22"/>
              </w:numPr>
            </w:pPr>
            <w:r>
              <w:rPr>
                <w:sz w:val="24"/>
                <w:szCs w:val="24"/>
              </w:rPr>
              <w:t>a</w:t>
            </w:r>
            <w:r w:rsidRPr="00877366">
              <w:rPr>
                <w:sz w:val="24"/>
                <w:szCs w:val="24"/>
              </w:rPr>
              <w:t xml:space="preserve"> key on-going challenge for the Committee was managing business and it was important that papers were received in good time, avoiding use of ‘to follow’ papers</w:t>
            </w:r>
            <w:r>
              <w:rPr>
                <w:sz w:val="24"/>
                <w:szCs w:val="24"/>
              </w:rPr>
              <w:t>,</w:t>
            </w:r>
            <w:r w:rsidRPr="00877366">
              <w:rPr>
                <w:sz w:val="24"/>
                <w:szCs w:val="24"/>
              </w:rPr>
              <w:t xml:space="preserve"> and ensuring business was not deferred in order to manage business across the year</w:t>
            </w:r>
            <w:r>
              <w:rPr>
                <w:sz w:val="24"/>
                <w:szCs w:val="24"/>
              </w:rPr>
              <w:t xml:space="preserve"> (ARC_2023_10_05_1.1i refers)</w:t>
            </w:r>
            <w:r w:rsidRPr="00877366">
              <w:rPr>
                <w:sz w:val="24"/>
                <w:szCs w:val="24"/>
              </w:rPr>
              <w:t>. The amount of ‘to follow’ papers had been reduced in 2022/23 compared to previous years.</w:t>
            </w:r>
          </w:p>
        </w:tc>
      </w:tr>
    </w:tbl>
    <w:p w14:paraId="6948E0D9" w14:textId="77777777" w:rsidR="00366CBF" w:rsidRDefault="00366CBF"/>
    <w:tbl>
      <w:tblPr>
        <w:tblStyle w:val="TableGrid"/>
        <w:tblW w:w="10056"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6"/>
        <w:gridCol w:w="6570"/>
        <w:gridCol w:w="1890"/>
      </w:tblGrid>
      <w:tr w:rsidR="00710F26" w:rsidRPr="008A753B" w14:paraId="64F44ACA" w14:textId="77777777" w:rsidTr="00FD69CA">
        <w:tc>
          <w:tcPr>
            <w:tcW w:w="1596" w:type="dxa"/>
            <w:tcBorders>
              <w:top w:val="single" w:sz="4" w:space="0" w:color="auto"/>
              <w:bottom w:val="single" w:sz="4" w:space="0" w:color="auto"/>
            </w:tcBorders>
            <w:shd w:val="clear" w:color="auto" w:fill="auto"/>
          </w:tcPr>
          <w:p w14:paraId="7DE6A271" w14:textId="604A30A0" w:rsidR="00710F26" w:rsidRDefault="00710F26" w:rsidP="00C52620">
            <w:pPr>
              <w:pStyle w:val="Heading3"/>
              <w:spacing w:before="60" w:after="60"/>
              <w:ind w:left="-106" w:right="-108"/>
              <w:rPr>
                <w:sz w:val="24"/>
              </w:rPr>
            </w:pPr>
            <w:r>
              <w:rPr>
                <w:sz w:val="24"/>
              </w:rPr>
              <w:lastRenderedPageBreak/>
              <w:t>16.2</w:t>
            </w:r>
          </w:p>
        </w:tc>
        <w:tc>
          <w:tcPr>
            <w:tcW w:w="8460" w:type="dxa"/>
            <w:gridSpan w:val="2"/>
            <w:tcBorders>
              <w:top w:val="single" w:sz="4" w:space="0" w:color="auto"/>
              <w:bottom w:val="single" w:sz="4" w:space="0" w:color="auto"/>
            </w:tcBorders>
            <w:shd w:val="clear" w:color="auto" w:fill="auto"/>
          </w:tcPr>
          <w:p w14:paraId="13F2CECD" w14:textId="338A8D12" w:rsidR="00710F26" w:rsidRPr="009A55E7" w:rsidRDefault="00710F26" w:rsidP="00C52620">
            <w:pPr>
              <w:pStyle w:val="Heading3"/>
              <w:spacing w:before="60" w:after="60"/>
              <w:ind w:right="-110"/>
              <w:rPr>
                <w:sz w:val="24"/>
              </w:rPr>
            </w:pPr>
            <w:r w:rsidRPr="009A55E7">
              <w:rPr>
                <w:sz w:val="24"/>
              </w:rPr>
              <w:t>The Committee</w:t>
            </w:r>
            <w:r>
              <w:rPr>
                <w:sz w:val="24"/>
              </w:rPr>
              <w:t xml:space="preserve"> agreed to </w:t>
            </w:r>
            <w:r w:rsidRPr="00710F26">
              <w:rPr>
                <w:b/>
                <w:bCs/>
                <w:sz w:val="24"/>
              </w:rPr>
              <w:t>recommend</w:t>
            </w:r>
            <w:r>
              <w:rPr>
                <w:sz w:val="24"/>
              </w:rPr>
              <w:t xml:space="preserve"> the revised terms of reference to the Board of Governors.</w:t>
            </w:r>
          </w:p>
        </w:tc>
      </w:tr>
      <w:tr w:rsidR="00C738EA" w:rsidRPr="008A753B" w14:paraId="5A607CC7" w14:textId="77777777" w:rsidTr="00FD69CA">
        <w:tc>
          <w:tcPr>
            <w:tcW w:w="1596" w:type="dxa"/>
            <w:tcBorders>
              <w:top w:val="single" w:sz="4" w:space="0" w:color="auto"/>
              <w:bottom w:val="single" w:sz="4" w:space="0" w:color="auto"/>
            </w:tcBorders>
            <w:shd w:val="clear" w:color="auto" w:fill="D9D9D9" w:themeFill="background1" w:themeFillShade="D9"/>
          </w:tcPr>
          <w:p w14:paraId="74D0A00D" w14:textId="056B219A" w:rsidR="00C738EA" w:rsidRDefault="00A45529" w:rsidP="00172CB8">
            <w:pPr>
              <w:pStyle w:val="Heading3"/>
              <w:spacing w:before="60" w:after="60"/>
              <w:ind w:left="-106" w:right="-108"/>
            </w:pPr>
            <w:r>
              <w:t>ARC_2023_10_05_</w:t>
            </w:r>
            <w:r w:rsidR="00710F26">
              <w:t>17</w:t>
            </w:r>
          </w:p>
        </w:tc>
        <w:tc>
          <w:tcPr>
            <w:tcW w:w="6570" w:type="dxa"/>
            <w:tcBorders>
              <w:top w:val="single" w:sz="4" w:space="0" w:color="auto"/>
              <w:bottom w:val="single" w:sz="4" w:space="0" w:color="auto"/>
            </w:tcBorders>
            <w:shd w:val="clear" w:color="auto" w:fill="D9D9D9" w:themeFill="background1" w:themeFillShade="D9"/>
          </w:tcPr>
          <w:p w14:paraId="029901EC" w14:textId="07AE7B24" w:rsidR="00C738EA" w:rsidRPr="008A753B" w:rsidRDefault="00284863" w:rsidP="00172CB8">
            <w:pPr>
              <w:pStyle w:val="Heading2"/>
            </w:pPr>
            <w:r w:rsidRPr="0024236B">
              <w:rPr>
                <w:bCs/>
              </w:rPr>
              <w:t>ANNUAL REPORT ON PUBLIC INTEREST DISCLOSURES 2021/22</w:t>
            </w:r>
          </w:p>
        </w:tc>
        <w:tc>
          <w:tcPr>
            <w:tcW w:w="1890" w:type="dxa"/>
            <w:tcBorders>
              <w:top w:val="single" w:sz="4" w:space="0" w:color="auto"/>
              <w:bottom w:val="single" w:sz="4" w:space="0" w:color="auto"/>
            </w:tcBorders>
            <w:shd w:val="clear" w:color="auto" w:fill="D9D9D9" w:themeFill="background1" w:themeFillShade="D9"/>
          </w:tcPr>
          <w:p w14:paraId="47AFB110" w14:textId="77777777" w:rsidR="00F83EF0" w:rsidRDefault="00F83EF0" w:rsidP="009A55E7">
            <w:pPr>
              <w:pStyle w:val="Heading3"/>
              <w:spacing w:before="60" w:after="60"/>
              <w:ind w:left="-113" w:right="-110"/>
              <w:jc w:val="right"/>
              <w:rPr>
                <w:szCs w:val="18"/>
              </w:rPr>
            </w:pPr>
            <w:r w:rsidRPr="006D6471">
              <w:rPr>
                <w:szCs w:val="18"/>
              </w:rPr>
              <w:t>ARC</w:t>
            </w:r>
            <w:r>
              <w:rPr>
                <w:szCs w:val="18"/>
              </w:rPr>
              <w:t>_</w:t>
            </w:r>
            <w:r w:rsidRPr="006D6471">
              <w:rPr>
                <w:szCs w:val="18"/>
              </w:rPr>
              <w:t>202</w:t>
            </w:r>
            <w:r>
              <w:rPr>
                <w:szCs w:val="18"/>
              </w:rPr>
              <w:t>3_1</w:t>
            </w:r>
            <w:r w:rsidRPr="006D6471">
              <w:rPr>
                <w:szCs w:val="18"/>
              </w:rPr>
              <w:t>0</w:t>
            </w:r>
            <w:r>
              <w:rPr>
                <w:szCs w:val="18"/>
              </w:rPr>
              <w:t>_05_P15</w:t>
            </w:r>
          </w:p>
          <w:p w14:paraId="42EB5D20" w14:textId="3E4A691F" w:rsidR="00C738EA" w:rsidRPr="00D076A6" w:rsidRDefault="009A55E7" w:rsidP="009A55E7">
            <w:pPr>
              <w:pStyle w:val="Heading3"/>
              <w:spacing w:before="60" w:after="60"/>
              <w:ind w:left="-113" w:right="-110"/>
              <w:jc w:val="right"/>
            </w:pPr>
            <w:r>
              <w:rPr>
                <w:szCs w:val="18"/>
              </w:rPr>
              <w:t>CONFIDENTIAL</w:t>
            </w:r>
          </w:p>
        </w:tc>
      </w:tr>
      <w:tr w:rsidR="009A55E7" w:rsidRPr="008A753B" w14:paraId="7540D196" w14:textId="77777777" w:rsidTr="00FD69CA">
        <w:tc>
          <w:tcPr>
            <w:tcW w:w="1596" w:type="dxa"/>
            <w:tcBorders>
              <w:top w:val="single" w:sz="4" w:space="0" w:color="auto"/>
              <w:bottom w:val="single" w:sz="4" w:space="0" w:color="auto"/>
            </w:tcBorders>
            <w:shd w:val="clear" w:color="auto" w:fill="auto"/>
          </w:tcPr>
          <w:p w14:paraId="7D2AC6DF" w14:textId="40453C35" w:rsidR="009A55E7" w:rsidRPr="00364E40" w:rsidRDefault="000F7FD8" w:rsidP="00C52620">
            <w:pPr>
              <w:pStyle w:val="Heading3"/>
              <w:spacing w:before="60" w:after="60"/>
              <w:ind w:left="-106" w:right="-108"/>
              <w:rPr>
                <w:sz w:val="24"/>
              </w:rPr>
            </w:pPr>
            <w:r>
              <w:rPr>
                <w:sz w:val="24"/>
              </w:rPr>
              <w:t>1</w:t>
            </w:r>
            <w:r w:rsidR="00710F26">
              <w:rPr>
                <w:sz w:val="24"/>
              </w:rPr>
              <w:t>7</w:t>
            </w:r>
            <w:r w:rsidR="00364E40">
              <w:rPr>
                <w:sz w:val="24"/>
              </w:rPr>
              <w:t>.1</w:t>
            </w:r>
          </w:p>
        </w:tc>
        <w:tc>
          <w:tcPr>
            <w:tcW w:w="8460" w:type="dxa"/>
            <w:gridSpan w:val="2"/>
            <w:tcBorders>
              <w:top w:val="single" w:sz="4" w:space="0" w:color="auto"/>
              <w:bottom w:val="single" w:sz="4" w:space="0" w:color="auto"/>
            </w:tcBorders>
            <w:shd w:val="clear" w:color="auto" w:fill="auto"/>
          </w:tcPr>
          <w:p w14:paraId="6D1C644D" w14:textId="7E965027" w:rsidR="007D140B" w:rsidRPr="007D140B" w:rsidRDefault="009A55E7" w:rsidP="007D140B">
            <w:pPr>
              <w:pStyle w:val="Heading3"/>
              <w:spacing w:before="60" w:after="60"/>
              <w:ind w:right="-110"/>
              <w:rPr>
                <w:sz w:val="24"/>
              </w:rPr>
            </w:pPr>
            <w:r w:rsidRPr="009A55E7">
              <w:rPr>
                <w:sz w:val="24"/>
              </w:rPr>
              <w:t>The Committee noted the report.</w:t>
            </w:r>
          </w:p>
        </w:tc>
      </w:tr>
      <w:tr w:rsidR="00C738EA" w:rsidRPr="008A753B" w14:paraId="04614569" w14:textId="77777777" w:rsidTr="00FD69CA">
        <w:tc>
          <w:tcPr>
            <w:tcW w:w="1596" w:type="dxa"/>
            <w:tcBorders>
              <w:top w:val="single" w:sz="4" w:space="0" w:color="auto"/>
              <w:bottom w:val="single" w:sz="4" w:space="0" w:color="auto"/>
            </w:tcBorders>
            <w:shd w:val="clear" w:color="auto" w:fill="D9D9D9" w:themeFill="background1" w:themeFillShade="D9"/>
          </w:tcPr>
          <w:p w14:paraId="5163D864" w14:textId="6B8A2BCF" w:rsidR="00C738EA" w:rsidRDefault="00A45529" w:rsidP="00172CB8">
            <w:pPr>
              <w:pStyle w:val="Heading3"/>
              <w:spacing w:before="60" w:after="60"/>
              <w:ind w:left="-106" w:right="-108"/>
            </w:pPr>
            <w:r>
              <w:t>ARC_2023_10_05_</w:t>
            </w:r>
            <w:r w:rsidR="00710F26">
              <w:t>18</w:t>
            </w:r>
          </w:p>
        </w:tc>
        <w:tc>
          <w:tcPr>
            <w:tcW w:w="6570" w:type="dxa"/>
            <w:tcBorders>
              <w:top w:val="single" w:sz="4" w:space="0" w:color="auto"/>
              <w:bottom w:val="single" w:sz="4" w:space="0" w:color="auto"/>
            </w:tcBorders>
            <w:shd w:val="clear" w:color="auto" w:fill="D9D9D9" w:themeFill="background1" w:themeFillShade="D9"/>
          </w:tcPr>
          <w:p w14:paraId="7E714792" w14:textId="656A768C" w:rsidR="00C738EA" w:rsidRPr="008A753B" w:rsidRDefault="00284863" w:rsidP="00172CB8">
            <w:pPr>
              <w:pStyle w:val="Heading2"/>
            </w:pPr>
            <w:r>
              <w:rPr>
                <w:bCs/>
              </w:rPr>
              <w:t xml:space="preserve">ANNUAL REPORT </w:t>
            </w:r>
            <w:r w:rsidR="00AD460A" w:rsidRPr="00D01764">
              <w:rPr>
                <w:bCs/>
              </w:rPr>
              <w:t>ON INFORMATION GOVERANCE COMPLIANCE</w:t>
            </w:r>
          </w:p>
        </w:tc>
        <w:tc>
          <w:tcPr>
            <w:tcW w:w="1890" w:type="dxa"/>
            <w:tcBorders>
              <w:top w:val="single" w:sz="4" w:space="0" w:color="auto"/>
              <w:bottom w:val="single" w:sz="4" w:space="0" w:color="auto"/>
            </w:tcBorders>
            <w:shd w:val="clear" w:color="auto" w:fill="D9D9D9" w:themeFill="background1" w:themeFillShade="D9"/>
          </w:tcPr>
          <w:p w14:paraId="2DE6FC79" w14:textId="25C8A6C4" w:rsidR="00F83EF0" w:rsidRDefault="00F83EF0" w:rsidP="009A55E7">
            <w:pPr>
              <w:pStyle w:val="Heading3"/>
              <w:spacing w:before="60" w:after="60"/>
              <w:ind w:left="-113" w:right="-110"/>
              <w:jc w:val="right"/>
              <w:rPr>
                <w:szCs w:val="18"/>
              </w:rPr>
            </w:pPr>
            <w:r w:rsidRPr="006D6471">
              <w:rPr>
                <w:szCs w:val="18"/>
              </w:rPr>
              <w:t>ARC</w:t>
            </w:r>
            <w:r>
              <w:rPr>
                <w:szCs w:val="18"/>
              </w:rPr>
              <w:t>_</w:t>
            </w:r>
            <w:r w:rsidRPr="006D6471">
              <w:rPr>
                <w:szCs w:val="18"/>
              </w:rPr>
              <w:t>202</w:t>
            </w:r>
            <w:r>
              <w:rPr>
                <w:szCs w:val="18"/>
              </w:rPr>
              <w:t>3_1</w:t>
            </w:r>
            <w:r w:rsidRPr="006D6471">
              <w:rPr>
                <w:szCs w:val="18"/>
              </w:rPr>
              <w:t>0</w:t>
            </w:r>
            <w:r>
              <w:rPr>
                <w:szCs w:val="18"/>
              </w:rPr>
              <w:t>_05_P16</w:t>
            </w:r>
          </w:p>
          <w:p w14:paraId="5AD3A4AC" w14:textId="4E0EEEAB" w:rsidR="00C738EA" w:rsidRPr="00D076A6" w:rsidRDefault="009A55E7" w:rsidP="009A55E7">
            <w:pPr>
              <w:pStyle w:val="Heading3"/>
              <w:spacing w:before="60" w:after="60"/>
              <w:ind w:left="-113" w:right="-110"/>
              <w:jc w:val="right"/>
            </w:pPr>
            <w:r>
              <w:rPr>
                <w:szCs w:val="18"/>
              </w:rPr>
              <w:t>CONFIDENTIAL</w:t>
            </w:r>
          </w:p>
        </w:tc>
      </w:tr>
      <w:tr w:rsidR="009A55E7" w:rsidRPr="008A753B" w14:paraId="49487E86" w14:textId="77777777" w:rsidTr="00FD69CA">
        <w:tc>
          <w:tcPr>
            <w:tcW w:w="1596" w:type="dxa"/>
            <w:tcBorders>
              <w:top w:val="single" w:sz="4" w:space="0" w:color="auto"/>
              <w:bottom w:val="single" w:sz="4" w:space="0" w:color="auto"/>
            </w:tcBorders>
            <w:shd w:val="clear" w:color="auto" w:fill="auto"/>
          </w:tcPr>
          <w:p w14:paraId="24FB4835" w14:textId="5C60284F" w:rsidR="009A55E7" w:rsidRPr="00364E40" w:rsidRDefault="007761C8" w:rsidP="00C52620">
            <w:pPr>
              <w:pStyle w:val="Heading3"/>
              <w:spacing w:before="60" w:after="60"/>
              <w:ind w:left="-106" w:right="-108"/>
              <w:rPr>
                <w:sz w:val="24"/>
              </w:rPr>
            </w:pPr>
            <w:r>
              <w:rPr>
                <w:sz w:val="24"/>
              </w:rPr>
              <w:t>1</w:t>
            </w:r>
            <w:r w:rsidR="00710F26">
              <w:rPr>
                <w:sz w:val="24"/>
              </w:rPr>
              <w:t>8</w:t>
            </w:r>
            <w:r w:rsidR="00364E40" w:rsidRPr="00364E40">
              <w:rPr>
                <w:sz w:val="24"/>
              </w:rPr>
              <w:t>.1</w:t>
            </w:r>
          </w:p>
        </w:tc>
        <w:tc>
          <w:tcPr>
            <w:tcW w:w="8460" w:type="dxa"/>
            <w:gridSpan w:val="2"/>
            <w:tcBorders>
              <w:top w:val="single" w:sz="4" w:space="0" w:color="auto"/>
              <w:bottom w:val="single" w:sz="4" w:space="0" w:color="auto"/>
            </w:tcBorders>
            <w:shd w:val="clear" w:color="auto" w:fill="auto"/>
          </w:tcPr>
          <w:p w14:paraId="570DD8F1" w14:textId="0935539E" w:rsidR="009A55E7" w:rsidRPr="00D076A6" w:rsidRDefault="009A55E7" w:rsidP="00C52620">
            <w:pPr>
              <w:pStyle w:val="Heading3"/>
              <w:spacing w:before="60" w:after="60"/>
              <w:ind w:right="-110"/>
            </w:pPr>
            <w:r w:rsidRPr="009A55E7">
              <w:rPr>
                <w:sz w:val="24"/>
              </w:rPr>
              <w:t>The Committee noted the report</w:t>
            </w:r>
            <w:r w:rsidR="00AD460A">
              <w:rPr>
                <w:sz w:val="24"/>
              </w:rPr>
              <w:t>.</w:t>
            </w:r>
          </w:p>
        </w:tc>
      </w:tr>
      <w:tr w:rsidR="00C738EA" w:rsidRPr="008A753B" w14:paraId="297BC8A3" w14:textId="77777777" w:rsidTr="00FD69CA">
        <w:tc>
          <w:tcPr>
            <w:tcW w:w="1596" w:type="dxa"/>
            <w:tcBorders>
              <w:top w:val="single" w:sz="4" w:space="0" w:color="auto"/>
              <w:bottom w:val="single" w:sz="4" w:space="0" w:color="auto"/>
            </w:tcBorders>
            <w:shd w:val="clear" w:color="auto" w:fill="D9D9D9" w:themeFill="background1" w:themeFillShade="D9"/>
          </w:tcPr>
          <w:p w14:paraId="72B1B28A" w14:textId="2125606C" w:rsidR="00C738EA" w:rsidRDefault="00A45529" w:rsidP="00172CB8">
            <w:pPr>
              <w:pStyle w:val="Heading3"/>
              <w:spacing w:before="60" w:after="60"/>
              <w:ind w:left="-106" w:right="-108"/>
            </w:pPr>
            <w:r>
              <w:t>ARC_2023_10_05_</w:t>
            </w:r>
            <w:r w:rsidR="00710F26">
              <w:t>19</w:t>
            </w:r>
          </w:p>
        </w:tc>
        <w:tc>
          <w:tcPr>
            <w:tcW w:w="6570" w:type="dxa"/>
            <w:tcBorders>
              <w:top w:val="single" w:sz="4" w:space="0" w:color="auto"/>
              <w:bottom w:val="single" w:sz="4" w:space="0" w:color="auto"/>
            </w:tcBorders>
            <w:shd w:val="clear" w:color="auto" w:fill="D9D9D9" w:themeFill="background1" w:themeFillShade="D9"/>
          </w:tcPr>
          <w:p w14:paraId="261B4BC0" w14:textId="38A0E095" w:rsidR="00C738EA" w:rsidRPr="008A753B" w:rsidRDefault="00284863" w:rsidP="00172CB8">
            <w:pPr>
              <w:pStyle w:val="Heading2"/>
            </w:pPr>
            <w:r w:rsidRPr="00FA2811">
              <w:rPr>
                <w:bCs/>
              </w:rPr>
              <w:t>ADDITIONAL WORK CARRIED OUT BY THE EXTERNAL AUDITORS</w:t>
            </w:r>
          </w:p>
        </w:tc>
        <w:tc>
          <w:tcPr>
            <w:tcW w:w="1890" w:type="dxa"/>
            <w:tcBorders>
              <w:top w:val="single" w:sz="4" w:space="0" w:color="auto"/>
              <w:bottom w:val="single" w:sz="4" w:space="0" w:color="auto"/>
            </w:tcBorders>
            <w:shd w:val="clear" w:color="auto" w:fill="D9D9D9" w:themeFill="background1" w:themeFillShade="D9"/>
          </w:tcPr>
          <w:p w14:paraId="0035C2B8" w14:textId="1084B48B" w:rsidR="00C738EA" w:rsidRPr="00D076A6" w:rsidRDefault="00F83EF0" w:rsidP="009A55E7">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_05_P17</w:t>
            </w:r>
            <w:r w:rsidR="009A55E7">
              <w:t xml:space="preserve"> </w:t>
            </w:r>
            <w:r w:rsidR="009A55E7">
              <w:rPr>
                <w:szCs w:val="18"/>
              </w:rPr>
              <w:t>CONFIDENTIAL</w:t>
            </w:r>
          </w:p>
        </w:tc>
      </w:tr>
      <w:tr w:rsidR="009A55E7" w:rsidRPr="008A753B" w14:paraId="0888108B" w14:textId="77777777" w:rsidTr="00FD69CA">
        <w:tc>
          <w:tcPr>
            <w:tcW w:w="1596" w:type="dxa"/>
            <w:tcBorders>
              <w:top w:val="single" w:sz="4" w:space="0" w:color="auto"/>
              <w:bottom w:val="single" w:sz="4" w:space="0" w:color="auto"/>
            </w:tcBorders>
            <w:shd w:val="clear" w:color="auto" w:fill="auto"/>
          </w:tcPr>
          <w:p w14:paraId="04A6C38A" w14:textId="7D000B10" w:rsidR="009A55E7" w:rsidRPr="00890B20" w:rsidRDefault="007761C8" w:rsidP="00172CB8">
            <w:pPr>
              <w:pStyle w:val="Heading3"/>
              <w:spacing w:before="60" w:after="60"/>
              <w:ind w:left="-106" w:right="-108"/>
              <w:rPr>
                <w:sz w:val="24"/>
              </w:rPr>
            </w:pPr>
            <w:r>
              <w:rPr>
                <w:sz w:val="24"/>
              </w:rPr>
              <w:t>1</w:t>
            </w:r>
            <w:r w:rsidR="00710F26">
              <w:rPr>
                <w:sz w:val="24"/>
              </w:rPr>
              <w:t>9</w:t>
            </w:r>
            <w:r>
              <w:rPr>
                <w:sz w:val="24"/>
              </w:rPr>
              <w:t>.1</w:t>
            </w:r>
          </w:p>
        </w:tc>
        <w:tc>
          <w:tcPr>
            <w:tcW w:w="8460" w:type="dxa"/>
            <w:gridSpan w:val="2"/>
            <w:tcBorders>
              <w:top w:val="single" w:sz="4" w:space="0" w:color="auto"/>
              <w:bottom w:val="single" w:sz="4" w:space="0" w:color="auto"/>
            </w:tcBorders>
            <w:shd w:val="clear" w:color="auto" w:fill="auto"/>
          </w:tcPr>
          <w:p w14:paraId="2F1D0CFD" w14:textId="077D5F82" w:rsidR="009A55E7" w:rsidRPr="00D076A6" w:rsidRDefault="009A55E7" w:rsidP="009A55E7">
            <w:pPr>
              <w:pStyle w:val="Heading3"/>
              <w:spacing w:before="60" w:after="60"/>
              <w:ind w:right="-110"/>
            </w:pPr>
            <w:r w:rsidRPr="009A55E7">
              <w:rPr>
                <w:sz w:val="24"/>
              </w:rPr>
              <w:t>The Committee noted the report.</w:t>
            </w:r>
          </w:p>
        </w:tc>
      </w:tr>
      <w:tr w:rsidR="00C738EA" w:rsidRPr="008A753B" w14:paraId="22367C87" w14:textId="77777777" w:rsidTr="00FD69CA">
        <w:tc>
          <w:tcPr>
            <w:tcW w:w="1596" w:type="dxa"/>
            <w:tcBorders>
              <w:top w:val="single" w:sz="4" w:space="0" w:color="auto"/>
              <w:bottom w:val="single" w:sz="4" w:space="0" w:color="auto"/>
            </w:tcBorders>
            <w:shd w:val="clear" w:color="auto" w:fill="D9D9D9" w:themeFill="background1" w:themeFillShade="D9"/>
          </w:tcPr>
          <w:p w14:paraId="070B2F9F" w14:textId="5EA91E57" w:rsidR="00C738EA" w:rsidRDefault="00A45529" w:rsidP="00172CB8">
            <w:pPr>
              <w:pStyle w:val="Heading3"/>
              <w:spacing w:before="60" w:after="60"/>
              <w:ind w:left="-106" w:right="-108"/>
            </w:pPr>
            <w:r>
              <w:t>ARC_2023_10_05_</w:t>
            </w:r>
            <w:r w:rsidR="00710F26">
              <w:t>20</w:t>
            </w:r>
          </w:p>
        </w:tc>
        <w:tc>
          <w:tcPr>
            <w:tcW w:w="6570" w:type="dxa"/>
            <w:tcBorders>
              <w:top w:val="single" w:sz="4" w:space="0" w:color="auto"/>
              <w:bottom w:val="single" w:sz="4" w:space="0" w:color="auto"/>
            </w:tcBorders>
            <w:shd w:val="clear" w:color="auto" w:fill="D9D9D9" w:themeFill="background1" w:themeFillShade="D9"/>
          </w:tcPr>
          <w:p w14:paraId="532EA76D" w14:textId="17746321" w:rsidR="00C738EA" w:rsidRPr="008A753B" w:rsidRDefault="00284863" w:rsidP="00172CB8">
            <w:pPr>
              <w:pStyle w:val="Heading2"/>
            </w:pPr>
            <w:r>
              <w:rPr>
                <w:bCs/>
              </w:rPr>
              <w:t>REPORTABLE EVENT NOTIFICATION TO THE OFFICE FOR STUDENTS’</w:t>
            </w:r>
          </w:p>
        </w:tc>
        <w:tc>
          <w:tcPr>
            <w:tcW w:w="1890" w:type="dxa"/>
            <w:tcBorders>
              <w:top w:val="single" w:sz="4" w:space="0" w:color="auto"/>
              <w:bottom w:val="single" w:sz="4" w:space="0" w:color="auto"/>
            </w:tcBorders>
            <w:shd w:val="clear" w:color="auto" w:fill="D9D9D9" w:themeFill="background1" w:themeFillShade="D9"/>
          </w:tcPr>
          <w:p w14:paraId="38325D9F" w14:textId="1070F20B" w:rsidR="00F83EF0" w:rsidRDefault="00F83EF0" w:rsidP="009A55E7">
            <w:pPr>
              <w:pStyle w:val="Heading3"/>
              <w:spacing w:before="60" w:after="60"/>
              <w:ind w:left="-113" w:right="-110"/>
              <w:jc w:val="right"/>
              <w:rPr>
                <w:szCs w:val="18"/>
              </w:rPr>
            </w:pPr>
            <w:r w:rsidRPr="006D6471">
              <w:rPr>
                <w:szCs w:val="18"/>
              </w:rPr>
              <w:t>ARC</w:t>
            </w:r>
            <w:r>
              <w:rPr>
                <w:szCs w:val="18"/>
              </w:rPr>
              <w:t>_</w:t>
            </w:r>
            <w:r w:rsidRPr="006D6471">
              <w:rPr>
                <w:szCs w:val="18"/>
              </w:rPr>
              <w:t>202</w:t>
            </w:r>
            <w:r>
              <w:rPr>
                <w:szCs w:val="18"/>
              </w:rPr>
              <w:t>3_1</w:t>
            </w:r>
            <w:r w:rsidRPr="006D6471">
              <w:rPr>
                <w:szCs w:val="18"/>
              </w:rPr>
              <w:t>0</w:t>
            </w:r>
            <w:r>
              <w:rPr>
                <w:szCs w:val="18"/>
              </w:rPr>
              <w:t>_05_P18</w:t>
            </w:r>
          </w:p>
          <w:p w14:paraId="3FD9D112" w14:textId="7F3E7BFE" w:rsidR="009A55E7" w:rsidRPr="009A55E7" w:rsidRDefault="009A55E7" w:rsidP="00F83EF0">
            <w:pPr>
              <w:pStyle w:val="Heading3"/>
              <w:spacing w:before="60" w:after="60"/>
              <w:ind w:left="-113" w:right="-110"/>
              <w:jc w:val="right"/>
            </w:pPr>
            <w:r>
              <w:rPr>
                <w:szCs w:val="18"/>
              </w:rPr>
              <w:t>CONFIDENTIAL</w:t>
            </w:r>
          </w:p>
        </w:tc>
      </w:tr>
      <w:tr w:rsidR="009A55E7" w:rsidRPr="008A753B" w14:paraId="334B80B4" w14:textId="77777777" w:rsidTr="00FD69CA">
        <w:tc>
          <w:tcPr>
            <w:tcW w:w="1596" w:type="dxa"/>
            <w:tcBorders>
              <w:top w:val="single" w:sz="4" w:space="0" w:color="auto"/>
              <w:bottom w:val="single" w:sz="4" w:space="0" w:color="auto"/>
            </w:tcBorders>
            <w:shd w:val="clear" w:color="auto" w:fill="auto"/>
          </w:tcPr>
          <w:p w14:paraId="1DEF88C2" w14:textId="5A8745CC" w:rsidR="009A55E7" w:rsidRPr="00890B20" w:rsidRDefault="00890B20" w:rsidP="00172CB8">
            <w:pPr>
              <w:pStyle w:val="Heading3"/>
              <w:spacing w:before="60" w:after="60"/>
              <w:ind w:left="-106" w:right="-108"/>
              <w:rPr>
                <w:sz w:val="24"/>
              </w:rPr>
            </w:pPr>
            <w:r>
              <w:rPr>
                <w:sz w:val="24"/>
              </w:rPr>
              <w:t>2</w:t>
            </w:r>
            <w:r w:rsidR="00501B3E">
              <w:rPr>
                <w:sz w:val="24"/>
              </w:rPr>
              <w:t>0</w:t>
            </w:r>
            <w:r w:rsidR="007761C8">
              <w:rPr>
                <w:sz w:val="24"/>
              </w:rPr>
              <w:t>.1</w:t>
            </w:r>
          </w:p>
        </w:tc>
        <w:tc>
          <w:tcPr>
            <w:tcW w:w="8460" w:type="dxa"/>
            <w:gridSpan w:val="2"/>
            <w:tcBorders>
              <w:top w:val="single" w:sz="4" w:space="0" w:color="auto"/>
              <w:bottom w:val="single" w:sz="4" w:space="0" w:color="auto"/>
            </w:tcBorders>
            <w:shd w:val="clear" w:color="auto" w:fill="auto"/>
          </w:tcPr>
          <w:p w14:paraId="0179A8C0" w14:textId="2D6ACF4E" w:rsidR="009A55E7" w:rsidRPr="009A55E7" w:rsidRDefault="009A55E7" w:rsidP="009A55E7">
            <w:pPr>
              <w:pStyle w:val="Heading3"/>
              <w:spacing w:before="60" w:after="60"/>
              <w:ind w:right="-110"/>
              <w:rPr>
                <w:sz w:val="24"/>
              </w:rPr>
            </w:pPr>
            <w:r w:rsidRPr="009A55E7">
              <w:rPr>
                <w:sz w:val="24"/>
              </w:rPr>
              <w:t>The Committee noted the report</w:t>
            </w:r>
            <w:r w:rsidR="00DD4773">
              <w:rPr>
                <w:sz w:val="24"/>
              </w:rPr>
              <w:t>. The OfS had confirmed receipt of these notifications and that no further action was required.</w:t>
            </w:r>
          </w:p>
        </w:tc>
      </w:tr>
      <w:tr w:rsidR="00C738EA" w:rsidRPr="008A753B" w14:paraId="05624606" w14:textId="77777777" w:rsidTr="00FD69CA">
        <w:tc>
          <w:tcPr>
            <w:tcW w:w="1596" w:type="dxa"/>
            <w:tcBorders>
              <w:top w:val="single" w:sz="4" w:space="0" w:color="auto"/>
              <w:bottom w:val="single" w:sz="4" w:space="0" w:color="auto"/>
            </w:tcBorders>
            <w:shd w:val="clear" w:color="auto" w:fill="D9D9D9" w:themeFill="background1" w:themeFillShade="D9"/>
          </w:tcPr>
          <w:p w14:paraId="5AA2A226" w14:textId="02EDC194" w:rsidR="00C738EA" w:rsidRDefault="00A45529" w:rsidP="00172CB8">
            <w:pPr>
              <w:pStyle w:val="Heading3"/>
              <w:spacing w:before="60" w:after="60"/>
              <w:ind w:left="-106" w:right="-108"/>
            </w:pPr>
            <w:r>
              <w:t>ARC_2023_10_05_</w:t>
            </w:r>
            <w:r w:rsidR="00501B3E">
              <w:t>21</w:t>
            </w:r>
          </w:p>
        </w:tc>
        <w:tc>
          <w:tcPr>
            <w:tcW w:w="6570" w:type="dxa"/>
            <w:tcBorders>
              <w:top w:val="single" w:sz="4" w:space="0" w:color="auto"/>
              <w:bottom w:val="single" w:sz="4" w:space="0" w:color="auto"/>
            </w:tcBorders>
            <w:shd w:val="clear" w:color="auto" w:fill="D9D9D9" w:themeFill="background1" w:themeFillShade="D9"/>
          </w:tcPr>
          <w:p w14:paraId="2C33674B" w14:textId="027B1AC8" w:rsidR="00C738EA" w:rsidRPr="008A753B" w:rsidRDefault="00284863" w:rsidP="00172CB8">
            <w:pPr>
              <w:pStyle w:val="Heading2"/>
            </w:pPr>
            <w:r w:rsidRPr="00FA2811">
              <w:rPr>
                <w:bCs/>
              </w:rPr>
              <w:t>DEADLINES AND REQUIREMENTS FOR 202</w:t>
            </w:r>
            <w:r>
              <w:rPr>
                <w:bCs/>
              </w:rPr>
              <w:t>2</w:t>
            </w:r>
            <w:r w:rsidRPr="00FA2811">
              <w:rPr>
                <w:bCs/>
              </w:rPr>
              <w:t>/2</w:t>
            </w:r>
            <w:r>
              <w:rPr>
                <w:bCs/>
              </w:rPr>
              <w:t>3</w:t>
            </w:r>
            <w:r w:rsidRPr="00FA2811">
              <w:rPr>
                <w:bCs/>
              </w:rPr>
              <w:t xml:space="preserve"> DATA RETURNS AND ANNUAL FINANCIAL RETURN 202</w:t>
            </w:r>
            <w:r>
              <w:rPr>
                <w:bCs/>
              </w:rPr>
              <w:t>2</w:t>
            </w:r>
          </w:p>
        </w:tc>
        <w:tc>
          <w:tcPr>
            <w:tcW w:w="1890" w:type="dxa"/>
            <w:tcBorders>
              <w:top w:val="single" w:sz="4" w:space="0" w:color="auto"/>
              <w:bottom w:val="single" w:sz="4" w:space="0" w:color="auto"/>
            </w:tcBorders>
            <w:shd w:val="clear" w:color="auto" w:fill="D9D9D9" w:themeFill="background1" w:themeFillShade="D9"/>
          </w:tcPr>
          <w:p w14:paraId="4B0E79C5" w14:textId="5A396D07" w:rsidR="00C738EA" w:rsidRPr="00D076A6" w:rsidRDefault="00F83EF0" w:rsidP="009A55E7">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_05_P19</w:t>
            </w:r>
          </w:p>
        </w:tc>
      </w:tr>
      <w:tr w:rsidR="009A55E7" w:rsidRPr="008A753B" w14:paraId="1AA73357" w14:textId="77777777" w:rsidTr="00FD69CA">
        <w:tc>
          <w:tcPr>
            <w:tcW w:w="1596" w:type="dxa"/>
            <w:tcBorders>
              <w:top w:val="single" w:sz="4" w:space="0" w:color="auto"/>
              <w:bottom w:val="single" w:sz="4" w:space="0" w:color="auto"/>
            </w:tcBorders>
            <w:shd w:val="clear" w:color="auto" w:fill="auto"/>
          </w:tcPr>
          <w:p w14:paraId="7B220228" w14:textId="5B5AECCA" w:rsidR="009A55E7" w:rsidRPr="00890B20" w:rsidRDefault="00890B20" w:rsidP="00172CB8">
            <w:pPr>
              <w:pStyle w:val="Heading3"/>
              <w:spacing w:before="60" w:after="60"/>
              <w:ind w:left="-106" w:right="-108"/>
              <w:rPr>
                <w:sz w:val="24"/>
              </w:rPr>
            </w:pPr>
            <w:r>
              <w:rPr>
                <w:sz w:val="24"/>
              </w:rPr>
              <w:t>2</w:t>
            </w:r>
            <w:r w:rsidR="00501B3E">
              <w:rPr>
                <w:sz w:val="24"/>
              </w:rPr>
              <w:t>1</w:t>
            </w:r>
            <w:r w:rsidR="007761C8">
              <w:rPr>
                <w:sz w:val="24"/>
              </w:rPr>
              <w:t>.1</w:t>
            </w:r>
          </w:p>
        </w:tc>
        <w:tc>
          <w:tcPr>
            <w:tcW w:w="8460" w:type="dxa"/>
            <w:gridSpan w:val="2"/>
            <w:tcBorders>
              <w:top w:val="single" w:sz="4" w:space="0" w:color="auto"/>
              <w:bottom w:val="single" w:sz="4" w:space="0" w:color="auto"/>
            </w:tcBorders>
            <w:shd w:val="clear" w:color="auto" w:fill="auto"/>
          </w:tcPr>
          <w:p w14:paraId="0AA5EDFA" w14:textId="57158585" w:rsidR="009A55E7" w:rsidRPr="00710F26" w:rsidRDefault="009A55E7" w:rsidP="009A55E7">
            <w:pPr>
              <w:pStyle w:val="Heading3"/>
              <w:spacing w:before="60" w:after="60"/>
              <w:ind w:right="-110"/>
              <w:rPr>
                <w:sz w:val="24"/>
              </w:rPr>
            </w:pPr>
            <w:r w:rsidRPr="00710F26">
              <w:rPr>
                <w:sz w:val="24"/>
              </w:rPr>
              <w:t>The Committee noted the report</w:t>
            </w:r>
            <w:r w:rsidR="00710F26" w:rsidRPr="00710F26">
              <w:rPr>
                <w:sz w:val="24"/>
              </w:rPr>
              <w:t xml:space="preserve"> and that the information in the report would be reported to the Board via the University Secretary’s Report</w:t>
            </w:r>
            <w:r w:rsidRPr="00710F26">
              <w:rPr>
                <w:sz w:val="24"/>
              </w:rPr>
              <w:t>.</w:t>
            </w:r>
          </w:p>
        </w:tc>
      </w:tr>
      <w:tr w:rsidR="00036B39" w:rsidRPr="008A753B" w14:paraId="25CD514B" w14:textId="77777777" w:rsidTr="00FD69CA">
        <w:tc>
          <w:tcPr>
            <w:tcW w:w="1596" w:type="dxa"/>
            <w:tcBorders>
              <w:top w:val="single" w:sz="4" w:space="0" w:color="auto"/>
              <w:bottom w:val="single" w:sz="4" w:space="0" w:color="auto"/>
            </w:tcBorders>
            <w:shd w:val="clear" w:color="auto" w:fill="D9D9D9" w:themeFill="background1" w:themeFillShade="D9"/>
          </w:tcPr>
          <w:p w14:paraId="27E294EA" w14:textId="00765B33" w:rsidR="00036B39" w:rsidRDefault="00A45529" w:rsidP="00C52620">
            <w:pPr>
              <w:pStyle w:val="Heading3"/>
              <w:spacing w:before="60" w:after="60"/>
              <w:ind w:left="-106" w:right="-108"/>
            </w:pPr>
            <w:r>
              <w:t>ARC_2023_10_05_</w:t>
            </w:r>
            <w:r w:rsidR="00501B3E">
              <w:t>22</w:t>
            </w:r>
          </w:p>
        </w:tc>
        <w:tc>
          <w:tcPr>
            <w:tcW w:w="6570" w:type="dxa"/>
            <w:tcBorders>
              <w:top w:val="single" w:sz="4" w:space="0" w:color="auto"/>
              <w:bottom w:val="single" w:sz="4" w:space="0" w:color="auto"/>
            </w:tcBorders>
            <w:shd w:val="clear" w:color="auto" w:fill="D9D9D9" w:themeFill="background1" w:themeFillShade="D9"/>
          </w:tcPr>
          <w:p w14:paraId="3A779DB0" w14:textId="370EB45E" w:rsidR="00036B39" w:rsidRPr="008A753B" w:rsidRDefault="00036B39" w:rsidP="00C52620">
            <w:pPr>
              <w:pStyle w:val="Heading2"/>
            </w:pPr>
            <w:r w:rsidRPr="001A1CBA">
              <w:rPr>
                <w:bCs/>
                <w:szCs w:val="24"/>
              </w:rPr>
              <w:t>AUDIT AND RISK COMMITTEE: ANNUAL BUSINESS CYCLE 202</w:t>
            </w:r>
            <w:r>
              <w:rPr>
                <w:bCs/>
                <w:szCs w:val="24"/>
              </w:rPr>
              <w:t>2</w:t>
            </w:r>
            <w:r w:rsidRPr="001A1CBA">
              <w:rPr>
                <w:bCs/>
                <w:szCs w:val="24"/>
              </w:rPr>
              <w:t>/2</w:t>
            </w:r>
            <w:r>
              <w:rPr>
                <w:bCs/>
                <w:szCs w:val="24"/>
              </w:rPr>
              <w:t>3</w:t>
            </w:r>
          </w:p>
        </w:tc>
        <w:tc>
          <w:tcPr>
            <w:tcW w:w="1890" w:type="dxa"/>
            <w:tcBorders>
              <w:top w:val="single" w:sz="4" w:space="0" w:color="auto"/>
              <w:bottom w:val="single" w:sz="4" w:space="0" w:color="auto"/>
            </w:tcBorders>
            <w:shd w:val="clear" w:color="auto" w:fill="D9D9D9" w:themeFill="background1" w:themeFillShade="D9"/>
          </w:tcPr>
          <w:p w14:paraId="19E94A1F" w14:textId="5A637724" w:rsidR="00036B39" w:rsidRPr="00D076A6" w:rsidRDefault="00F83EF0" w:rsidP="009A55E7">
            <w:pPr>
              <w:pStyle w:val="Heading3"/>
              <w:spacing w:before="60" w:after="60"/>
              <w:ind w:left="-113" w:right="-110"/>
              <w:jc w:val="right"/>
            </w:pPr>
            <w:r w:rsidRPr="006D6471">
              <w:rPr>
                <w:szCs w:val="18"/>
              </w:rPr>
              <w:t>ARC</w:t>
            </w:r>
            <w:r>
              <w:rPr>
                <w:szCs w:val="18"/>
              </w:rPr>
              <w:t>_</w:t>
            </w:r>
            <w:r w:rsidRPr="006D6471">
              <w:rPr>
                <w:szCs w:val="18"/>
              </w:rPr>
              <w:t>202</w:t>
            </w:r>
            <w:r>
              <w:rPr>
                <w:szCs w:val="18"/>
              </w:rPr>
              <w:t>3_1</w:t>
            </w:r>
            <w:r w:rsidRPr="006D6471">
              <w:rPr>
                <w:szCs w:val="18"/>
              </w:rPr>
              <w:t>0</w:t>
            </w:r>
            <w:r>
              <w:rPr>
                <w:szCs w:val="18"/>
              </w:rPr>
              <w:t>_05_P20</w:t>
            </w:r>
          </w:p>
        </w:tc>
      </w:tr>
      <w:tr w:rsidR="009A55E7" w:rsidRPr="008A753B" w14:paraId="48C08811" w14:textId="77777777" w:rsidTr="00FD69CA">
        <w:tc>
          <w:tcPr>
            <w:tcW w:w="1596" w:type="dxa"/>
            <w:tcBorders>
              <w:top w:val="single" w:sz="4" w:space="0" w:color="auto"/>
              <w:bottom w:val="single" w:sz="4" w:space="0" w:color="auto"/>
            </w:tcBorders>
            <w:shd w:val="clear" w:color="auto" w:fill="auto"/>
          </w:tcPr>
          <w:p w14:paraId="50B46F67" w14:textId="17D73779" w:rsidR="009A55E7" w:rsidRPr="00890B20" w:rsidRDefault="00890B20" w:rsidP="00C52620">
            <w:pPr>
              <w:pStyle w:val="Heading3"/>
              <w:spacing w:before="60" w:after="60"/>
              <w:ind w:left="-106" w:right="-108"/>
              <w:rPr>
                <w:sz w:val="24"/>
              </w:rPr>
            </w:pPr>
            <w:r>
              <w:rPr>
                <w:sz w:val="24"/>
              </w:rPr>
              <w:t>2</w:t>
            </w:r>
            <w:r w:rsidR="00501B3E">
              <w:rPr>
                <w:sz w:val="24"/>
              </w:rPr>
              <w:t>2</w:t>
            </w:r>
            <w:r w:rsidR="007761C8">
              <w:rPr>
                <w:sz w:val="24"/>
              </w:rPr>
              <w:t>.1</w:t>
            </w:r>
          </w:p>
        </w:tc>
        <w:tc>
          <w:tcPr>
            <w:tcW w:w="8460" w:type="dxa"/>
            <w:gridSpan w:val="2"/>
            <w:tcBorders>
              <w:top w:val="single" w:sz="4" w:space="0" w:color="auto"/>
              <w:bottom w:val="single" w:sz="4" w:space="0" w:color="auto"/>
            </w:tcBorders>
            <w:shd w:val="clear" w:color="auto" w:fill="auto"/>
          </w:tcPr>
          <w:p w14:paraId="0F945654" w14:textId="10DA1F93" w:rsidR="009A55E7" w:rsidRPr="009A55E7" w:rsidRDefault="009A55E7" w:rsidP="009A55E7">
            <w:pPr>
              <w:pStyle w:val="Heading3"/>
              <w:spacing w:before="60" w:after="60"/>
              <w:ind w:right="-110"/>
              <w:rPr>
                <w:sz w:val="24"/>
              </w:rPr>
            </w:pPr>
            <w:r w:rsidRPr="009A55E7">
              <w:rPr>
                <w:sz w:val="24"/>
              </w:rPr>
              <w:t>The Committee noted the report.</w:t>
            </w:r>
          </w:p>
        </w:tc>
      </w:tr>
      <w:tr w:rsidR="00524E99" w:rsidRPr="008A753B" w14:paraId="215AA6C2" w14:textId="77777777" w:rsidTr="00FD69CA">
        <w:tc>
          <w:tcPr>
            <w:tcW w:w="1596" w:type="dxa"/>
            <w:tcBorders>
              <w:top w:val="single" w:sz="4" w:space="0" w:color="auto"/>
              <w:bottom w:val="single" w:sz="4" w:space="0" w:color="auto"/>
            </w:tcBorders>
            <w:shd w:val="clear" w:color="auto" w:fill="D9D9D9" w:themeFill="background1" w:themeFillShade="D9"/>
          </w:tcPr>
          <w:p w14:paraId="25AA0E79" w14:textId="072F2A7D" w:rsidR="00524E99" w:rsidRDefault="00A45529" w:rsidP="00172CB8">
            <w:pPr>
              <w:pStyle w:val="Heading3"/>
              <w:spacing w:before="60" w:after="60"/>
              <w:ind w:left="-106" w:right="-108"/>
            </w:pPr>
            <w:r>
              <w:t>ARC_2023_10_05_</w:t>
            </w:r>
            <w:r w:rsidR="00501B3E">
              <w:t>23</w:t>
            </w:r>
          </w:p>
        </w:tc>
        <w:tc>
          <w:tcPr>
            <w:tcW w:w="6570" w:type="dxa"/>
            <w:tcBorders>
              <w:top w:val="single" w:sz="4" w:space="0" w:color="auto"/>
              <w:bottom w:val="single" w:sz="4" w:space="0" w:color="auto"/>
            </w:tcBorders>
            <w:shd w:val="clear" w:color="auto" w:fill="D9D9D9" w:themeFill="background1" w:themeFillShade="D9"/>
          </w:tcPr>
          <w:p w14:paraId="07FA00DE" w14:textId="04714B6B" w:rsidR="00524E99" w:rsidRPr="008A753B" w:rsidRDefault="00524E99" w:rsidP="00172CB8">
            <w:pPr>
              <w:pStyle w:val="Heading2"/>
            </w:pPr>
            <w:r w:rsidRPr="00A85DEC">
              <w:t>ANY URGENT BUSINESS</w:t>
            </w:r>
          </w:p>
        </w:tc>
        <w:tc>
          <w:tcPr>
            <w:tcW w:w="1890" w:type="dxa"/>
            <w:tcBorders>
              <w:top w:val="single" w:sz="4" w:space="0" w:color="auto"/>
              <w:bottom w:val="single" w:sz="4" w:space="0" w:color="auto"/>
            </w:tcBorders>
            <w:shd w:val="clear" w:color="auto" w:fill="D9D9D9" w:themeFill="background1" w:themeFillShade="D9"/>
          </w:tcPr>
          <w:p w14:paraId="1CFFEE03" w14:textId="4BACB316" w:rsidR="00524E99" w:rsidRPr="00D076A6" w:rsidRDefault="00524E99" w:rsidP="00172CB8">
            <w:pPr>
              <w:pStyle w:val="Heading3"/>
              <w:spacing w:before="60" w:after="60"/>
              <w:ind w:left="-113" w:right="-110"/>
            </w:pPr>
          </w:p>
        </w:tc>
      </w:tr>
      <w:tr w:rsidR="00036B39" w:rsidRPr="008A753B" w14:paraId="5F54153C" w14:textId="77777777" w:rsidTr="00FD69CA">
        <w:tc>
          <w:tcPr>
            <w:tcW w:w="1596" w:type="dxa"/>
            <w:tcBorders>
              <w:top w:val="single" w:sz="4" w:space="0" w:color="auto"/>
              <w:bottom w:val="single" w:sz="4" w:space="0" w:color="auto"/>
            </w:tcBorders>
          </w:tcPr>
          <w:p w14:paraId="5A4EF08C" w14:textId="6BF20665" w:rsidR="00036B39" w:rsidRPr="00890B20" w:rsidRDefault="00890B20" w:rsidP="00172CB8">
            <w:pPr>
              <w:pStyle w:val="Heading3"/>
              <w:spacing w:before="60" w:after="60"/>
              <w:ind w:left="-106" w:right="-108"/>
              <w:rPr>
                <w:sz w:val="24"/>
              </w:rPr>
            </w:pPr>
            <w:r>
              <w:rPr>
                <w:sz w:val="24"/>
              </w:rPr>
              <w:t>2</w:t>
            </w:r>
            <w:r w:rsidR="00501B3E">
              <w:rPr>
                <w:sz w:val="24"/>
              </w:rPr>
              <w:t>3</w:t>
            </w:r>
            <w:r w:rsidR="007761C8">
              <w:rPr>
                <w:sz w:val="24"/>
              </w:rPr>
              <w:t>.1</w:t>
            </w:r>
          </w:p>
        </w:tc>
        <w:tc>
          <w:tcPr>
            <w:tcW w:w="8460" w:type="dxa"/>
            <w:gridSpan w:val="2"/>
            <w:tcBorders>
              <w:top w:val="single" w:sz="4" w:space="0" w:color="auto"/>
              <w:bottom w:val="single" w:sz="4" w:space="0" w:color="auto"/>
            </w:tcBorders>
          </w:tcPr>
          <w:p w14:paraId="3D757D48" w14:textId="1EB501D3" w:rsidR="00036B39" w:rsidRPr="009A55E7" w:rsidRDefault="009A55E7" w:rsidP="009A55E7">
            <w:pPr>
              <w:pStyle w:val="Heading3"/>
              <w:spacing w:before="60" w:after="60"/>
              <w:ind w:right="-110"/>
              <w:rPr>
                <w:sz w:val="24"/>
              </w:rPr>
            </w:pPr>
            <w:r w:rsidRPr="009A55E7">
              <w:rPr>
                <w:sz w:val="24"/>
              </w:rPr>
              <w:t>None.</w:t>
            </w:r>
          </w:p>
        </w:tc>
      </w:tr>
      <w:tr w:rsidR="00524E99" w:rsidRPr="008A753B" w14:paraId="6802B5FD" w14:textId="77777777" w:rsidTr="00FD69CA">
        <w:tc>
          <w:tcPr>
            <w:tcW w:w="1596" w:type="dxa"/>
            <w:tcBorders>
              <w:top w:val="single" w:sz="4" w:space="0" w:color="auto"/>
              <w:bottom w:val="single" w:sz="4" w:space="0" w:color="auto"/>
            </w:tcBorders>
            <w:shd w:val="clear" w:color="auto" w:fill="D9D9D9" w:themeFill="background1" w:themeFillShade="D9"/>
          </w:tcPr>
          <w:p w14:paraId="319C72E4" w14:textId="0DE38E50" w:rsidR="00524E99" w:rsidRDefault="00A45529" w:rsidP="00172CB8">
            <w:pPr>
              <w:pStyle w:val="Heading3"/>
              <w:spacing w:before="60" w:after="60"/>
              <w:ind w:left="-106" w:right="-108"/>
            </w:pPr>
            <w:r>
              <w:t>ARC_2023_10_05_</w:t>
            </w:r>
            <w:r w:rsidR="00501B3E">
              <w:t>24</w:t>
            </w:r>
          </w:p>
        </w:tc>
        <w:tc>
          <w:tcPr>
            <w:tcW w:w="6570" w:type="dxa"/>
            <w:tcBorders>
              <w:top w:val="single" w:sz="4" w:space="0" w:color="auto"/>
              <w:bottom w:val="single" w:sz="4" w:space="0" w:color="auto"/>
            </w:tcBorders>
            <w:shd w:val="clear" w:color="auto" w:fill="D9D9D9" w:themeFill="background1" w:themeFillShade="D9"/>
          </w:tcPr>
          <w:p w14:paraId="59F063CD" w14:textId="4BD718C2" w:rsidR="00524E99" w:rsidRPr="008A753B" w:rsidRDefault="00524E99" w:rsidP="00172CB8">
            <w:pPr>
              <w:pStyle w:val="Heading2"/>
            </w:pPr>
            <w:r w:rsidRPr="008A753B">
              <w:t xml:space="preserve">DATE OF THE NEXT </w:t>
            </w:r>
            <w:r>
              <w:t>M</w:t>
            </w:r>
            <w:r w:rsidRPr="008A753B">
              <w:t xml:space="preserve">EETING </w:t>
            </w:r>
          </w:p>
        </w:tc>
        <w:tc>
          <w:tcPr>
            <w:tcW w:w="1890" w:type="dxa"/>
            <w:tcBorders>
              <w:top w:val="single" w:sz="4" w:space="0" w:color="auto"/>
              <w:bottom w:val="single" w:sz="4" w:space="0" w:color="auto"/>
            </w:tcBorders>
            <w:shd w:val="clear" w:color="auto" w:fill="D9D9D9" w:themeFill="background1" w:themeFillShade="D9"/>
          </w:tcPr>
          <w:p w14:paraId="76319A8B" w14:textId="118C3A7E" w:rsidR="00524E99" w:rsidRPr="00D076A6" w:rsidRDefault="00524E99" w:rsidP="00172CB8">
            <w:pPr>
              <w:pStyle w:val="Heading3"/>
              <w:spacing w:before="60" w:after="60"/>
              <w:ind w:left="-113" w:right="-110"/>
            </w:pPr>
          </w:p>
        </w:tc>
      </w:tr>
      <w:tr w:rsidR="00524E99" w:rsidRPr="008A753B" w14:paraId="2E2484FD" w14:textId="77777777" w:rsidTr="00FD69CA">
        <w:tc>
          <w:tcPr>
            <w:tcW w:w="1596" w:type="dxa"/>
            <w:tcBorders>
              <w:top w:val="single" w:sz="4" w:space="0" w:color="auto"/>
              <w:bottom w:val="single" w:sz="4" w:space="0" w:color="auto"/>
            </w:tcBorders>
          </w:tcPr>
          <w:p w14:paraId="426A20C7" w14:textId="065367B5" w:rsidR="00524E99" w:rsidRPr="008A753B" w:rsidRDefault="00740229" w:rsidP="000C3EDD">
            <w:pPr>
              <w:spacing w:before="60" w:after="60"/>
              <w:ind w:left="-106" w:right="-108"/>
              <w:rPr>
                <w:sz w:val="24"/>
                <w:szCs w:val="24"/>
              </w:rPr>
            </w:pPr>
            <w:r>
              <w:rPr>
                <w:sz w:val="24"/>
                <w:szCs w:val="24"/>
              </w:rPr>
              <w:t>2</w:t>
            </w:r>
            <w:r w:rsidR="00501B3E">
              <w:rPr>
                <w:sz w:val="24"/>
                <w:szCs w:val="24"/>
              </w:rPr>
              <w:t>4</w:t>
            </w:r>
            <w:r w:rsidR="007761C8">
              <w:rPr>
                <w:sz w:val="24"/>
                <w:szCs w:val="24"/>
              </w:rPr>
              <w:t>.1</w:t>
            </w:r>
          </w:p>
        </w:tc>
        <w:tc>
          <w:tcPr>
            <w:tcW w:w="8460" w:type="dxa"/>
            <w:gridSpan w:val="2"/>
            <w:tcBorders>
              <w:top w:val="single" w:sz="4" w:space="0" w:color="auto"/>
              <w:bottom w:val="single" w:sz="4" w:space="0" w:color="auto"/>
            </w:tcBorders>
          </w:tcPr>
          <w:p w14:paraId="020CAC1B" w14:textId="2844B4DE" w:rsidR="00A45529" w:rsidRPr="00A45529" w:rsidRDefault="00A45529" w:rsidP="00A45529">
            <w:pPr>
              <w:spacing w:before="60" w:after="60"/>
              <w:rPr>
                <w:sz w:val="24"/>
                <w:szCs w:val="24"/>
              </w:rPr>
            </w:pPr>
            <w:r w:rsidRPr="00A45529">
              <w:rPr>
                <w:sz w:val="24"/>
                <w:szCs w:val="24"/>
              </w:rPr>
              <w:t>ARC: Thursday 16 November 2023, 1</w:t>
            </w:r>
            <w:r>
              <w:rPr>
                <w:sz w:val="24"/>
                <w:szCs w:val="24"/>
              </w:rPr>
              <w:t>1</w:t>
            </w:r>
            <w:r w:rsidRPr="00A45529">
              <w:rPr>
                <w:sz w:val="24"/>
                <w:szCs w:val="24"/>
              </w:rPr>
              <w:t>00 to 1300</w:t>
            </w:r>
          </w:p>
          <w:p w14:paraId="293567C8" w14:textId="77777777" w:rsidR="00A45529" w:rsidRDefault="00A45529" w:rsidP="00A45529">
            <w:pPr>
              <w:spacing w:before="60" w:after="60"/>
              <w:rPr>
                <w:sz w:val="24"/>
                <w:szCs w:val="24"/>
              </w:rPr>
            </w:pPr>
            <w:r w:rsidRPr="00A45529">
              <w:rPr>
                <w:sz w:val="24"/>
                <w:szCs w:val="24"/>
              </w:rPr>
              <w:t>Joint meeting</w:t>
            </w:r>
            <w:r>
              <w:rPr>
                <w:sz w:val="24"/>
                <w:szCs w:val="24"/>
              </w:rPr>
              <w:t xml:space="preserve"> with FEC</w:t>
            </w:r>
            <w:r w:rsidRPr="00A45529">
              <w:rPr>
                <w:sz w:val="24"/>
                <w:szCs w:val="24"/>
              </w:rPr>
              <w:t>: Thursday 16 November 2023, 1330 to 1430</w:t>
            </w:r>
          </w:p>
          <w:p w14:paraId="7C784CBA" w14:textId="204BAE25" w:rsidR="001D59AA" w:rsidRPr="008A753B" w:rsidRDefault="001D59AA" w:rsidP="00A45529">
            <w:pPr>
              <w:spacing w:before="60" w:after="60"/>
              <w:rPr>
                <w:sz w:val="24"/>
                <w:szCs w:val="24"/>
              </w:rPr>
            </w:pPr>
            <w:r>
              <w:rPr>
                <w:bCs/>
                <w:sz w:val="24"/>
                <w:szCs w:val="24"/>
              </w:rPr>
              <w:t>B</w:t>
            </w:r>
            <w:r w:rsidRPr="00A51EAB">
              <w:rPr>
                <w:bCs/>
                <w:sz w:val="24"/>
                <w:szCs w:val="24"/>
              </w:rPr>
              <w:t>oth the above meetings w</w:t>
            </w:r>
            <w:r>
              <w:rPr>
                <w:bCs/>
                <w:sz w:val="24"/>
                <w:szCs w:val="24"/>
              </w:rPr>
              <w:t>ould</w:t>
            </w:r>
            <w:r w:rsidRPr="00A51EAB">
              <w:rPr>
                <w:bCs/>
                <w:sz w:val="24"/>
                <w:szCs w:val="24"/>
              </w:rPr>
              <w:t xml:space="preserve"> take place on campus.</w:t>
            </w:r>
          </w:p>
        </w:tc>
      </w:tr>
    </w:tbl>
    <w:p w14:paraId="264B8D5A" w14:textId="77777777" w:rsidR="002809E2" w:rsidRPr="008A753B" w:rsidRDefault="002809E2">
      <w:pPr>
        <w:rPr>
          <w:sz w:val="24"/>
          <w:szCs w:val="24"/>
        </w:rPr>
      </w:pPr>
    </w:p>
    <w:sectPr w:rsidR="002809E2" w:rsidRPr="008A753B" w:rsidSect="00FB57BB">
      <w:headerReference w:type="default" r:id="rId8"/>
      <w:footerReference w:type="default" r:id="rId9"/>
      <w:headerReference w:type="first" r:id="rId10"/>
      <w:footerReference w:type="first" r:id="rId11"/>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386B" w14:textId="77777777" w:rsidR="00016159" w:rsidRDefault="00016159" w:rsidP="0000042C">
      <w:pPr>
        <w:spacing w:after="0" w:line="240" w:lineRule="auto"/>
      </w:pPr>
      <w:r>
        <w:separator/>
      </w:r>
    </w:p>
  </w:endnote>
  <w:endnote w:type="continuationSeparator" w:id="0">
    <w:p w14:paraId="6700AD77" w14:textId="77777777" w:rsidR="00016159" w:rsidRDefault="00016159" w:rsidP="000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24"/>
        <w:szCs w:val="24"/>
      </w:rPr>
      <w:id w:val="803582961"/>
      <w:docPartObj>
        <w:docPartGallery w:val="Page Numbers (Top of Page)"/>
        <w:docPartUnique/>
      </w:docPartObj>
    </w:sdtPr>
    <w:sdtEndPr/>
    <w:sdtContent>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sdtContent>
  </w:sdt>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9248" w14:textId="77777777" w:rsidR="00016159" w:rsidRDefault="00016159" w:rsidP="0000042C">
      <w:pPr>
        <w:spacing w:after="0" w:line="240" w:lineRule="auto"/>
      </w:pPr>
      <w:r>
        <w:separator/>
      </w:r>
    </w:p>
  </w:footnote>
  <w:footnote w:type="continuationSeparator" w:id="0">
    <w:p w14:paraId="4D1BE36F" w14:textId="77777777" w:rsidR="00016159" w:rsidRDefault="00016159" w:rsidP="000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2FD7CBC5" w:rsidR="00FB57BB" w:rsidRPr="00131BC8" w:rsidRDefault="0032578D" w:rsidP="00FB57BB">
          <w:pPr>
            <w:pStyle w:val="Header"/>
            <w:jc w:val="center"/>
            <w:rPr>
              <w:b/>
              <w:bCs/>
              <w:sz w:val="24"/>
              <w:szCs w:val="24"/>
            </w:rPr>
          </w:pPr>
          <w:r>
            <w:rPr>
              <w:b/>
              <w:bCs/>
              <w:sz w:val="24"/>
              <w:szCs w:val="24"/>
            </w:rPr>
            <w:t>AUDIT AND RISK COMMITTEE</w:t>
          </w:r>
        </w:p>
      </w:tc>
      <w:tc>
        <w:tcPr>
          <w:tcW w:w="2693" w:type="dxa"/>
        </w:tcPr>
        <w:p w14:paraId="735B44DE" w14:textId="0CA1086B" w:rsidR="00FB57BB" w:rsidRPr="0032578D" w:rsidRDefault="0032578D" w:rsidP="00FB57BB">
          <w:pPr>
            <w:pStyle w:val="Header"/>
            <w:jc w:val="right"/>
            <w:rPr>
              <w:b/>
              <w:bCs/>
              <w:sz w:val="24"/>
              <w:szCs w:val="24"/>
            </w:rPr>
          </w:pPr>
          <w:r w:rsidRPr="0032578D">
            <w:rPr>
              <w:b/>
              <w:bCs/>
            </w:rPr>
            <w:t>ARC</w:t>
          </w:r>
          <w:r w:rsidR="00936356">
            <w:rPr>
              <w:b/>
              <w:bCs/>
            </w:rPr>
            <w:t>_</w:t>
          </w:r>
          <w:r w:rsidRPr="0032578D">
            <w:rPr>
              <w:b/>
              <w:bCs/>
            </w:rPr>
            <w:t>202</w:t>
          </w:r>
          <w:r w:rsidR="00936356">
            <w:rPr>
              <w:b/>
              <w:bCs/>
            </w:rPr>
            <w:t>3_1</w:t>
          </w:r>
          <w:r w:rsidRPr="0032578D">
            <w:rPr>
              <w:b/>
              <w:bCs/>
            </w:rPr>
            <w:t>0</w:t>
          </w:r>
          <w:r w:rsidR="00936356">
            <w:rPr>
              <w:b/>
              <w:bCs/>
            </w:rPr>
            <w:t>_05_</w:t>
          </w:r>
          <w:r w:rsidR="00FB57BB" w:rsidRPr="0032578D">
            <w:rPr>
              <w:b/>
              <w:bCs/>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791"/>
    <w:multiLevelType w:val="hybridMultilevel"/>
    <w:tmpl w:val="7D5487D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8E26FC"/>
    <w:multiLevelType w:val="hybridMultilevel"/>
    <w:tmpl w:val="1FB48A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23F21"/>
    <w:multiLevelType w:val="hybridMultilevel"/>
    <w:tmpl w:val="35B0F02A"/>
    <w:lvl w:ilvl="0" w:tplc="FFFFFFFF">
      <w:start w:val="1"/>
      <w:numFmt w:val="lowerRoman"/>
      <w:lvlText w:val="%1."/>
      <w:lvlJc w:val="righ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5E2921"/>
    <w:multiLevelType w:val="hybridMultilevel"/>
    <w:tmpl w:val="6F023CC0"/>
    <w:lvl w:ilvl="0" w:tplc="9F02B9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46323B"/>
    <w:multiLevelType w:val="hybridMultilevel"/>
    <w:tmpl w:val="6D24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768EB"/>
    <w:multiLevelType w:val="hybridMultilevel"/>
    <w:tmpl w:val="A61E7D4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7455A"/>
    <w:multiLevelType w:val="hybridMultilevel"/>
    <w:tmpl w:val="950A1B84"/>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A64E4"/>
    <w:multiLevelType w:val="hybridMultilevel"/>
    <w:tmpl w:val="981015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44DCF"/>
    <w:multiLevelType w:val="hybridMultilevel"/>
    <w:tmpl w:val="8FD205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84C18"/>
    <w:multiLevelType w:val="hybridMultilevel"/>
    <w:tmpl w:val="8EE448C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E2502E"/>
    <w:multiLevelType w:val="hybridMultilevel"/>
    <w:tmpl w:val="9A567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2C076C"/>
    <w:multiLevelType w:val="hybridMultilevel"/>
    <w:tmpl w:val="E9C614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927606"/>
    <w:multiLevelType w:val="hybridMultilevel"/>
    <w:tmpl w:val="3170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70BE6"/>
    <w:multiLevelType w:val="hybridMultilevel"/>
    <w:tmpl w:val="5272675E"/>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DD1F2C"/>
    <w:multiLevelType w:val="hybridMultilevel"/>
    <w:tmpl w:val="7B086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777018"/>
    <w:multiLevelType w:val="hybridMultilevel"/>
    <w:tmpl w:val="35B0F02A"/>
    <w:lvl w:ilvl="0" w:tplc="0809001B">
      <w:start w:val="1"/>
      <w:numFmt w:val="lowerRoman"/>
      <w:lvlText w:val="%1."/>
      <w:lvlJc w:val="right"/>
      <w:pPr>
        <w:ind w:left="720" w:hanging="360"/>
      </w:pPr>
    </w:lvl>
    <w:lvl w:ilvl="1" w:tplc="FAC2906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0D4736"/>
    <w:multiLevelType w:val="hybridMultilevel"/>
    <w:tmpl w:val="603436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C01720"/>
    <w:multiLevelType w:val="hybridMultilevel"/>
    <w:tmpl w:val="A8ECDA96"/>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AC07F1"/>
    <w:multiLevelType w:val="hybridMultilevel"/>
    <w:tmpl w:val="3224EA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D599A"/>
    <w:multiLevelType w:val="hybridMultilevel"/>
    <w:tmpl w:val="6298ECD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C2E6036"/>
    <w:multiLevelType w:val="hybridMultilevel"/>
    <w:tmpl w:val="F3B4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D0AD7"/>
    <w:multiLevelType w:val="hybridMultilevel"/>
    <w:tmpl w:val="638A3FE6"/>
    <w:lvl w:ilvl="0" w:tplc="7FC660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F8815FB"/>
    <w:multiLevelType w:val="hybridMultilevel"/>
    <w:tmpl w:val="CFE6506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21348A"/>
    <w:multiLevelType w:val="hybridMultilevel"/>
    <w:tmpl w:val="7D5487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215208">
    <w:abstractNumId w:val="3"/>
  </w:num>
  <w:num w:numId="2" w16cid:durableId="997072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548407">
    <w:abstractNumId w:val="3"/>
  </w:num>
  <w:num w:numId="4" w16cid:durableId="1027759056">
    <w:abstractNumId w:val="21"/>
  </w:num>
  <w:num w:numId="5" w16cid:durableId="712580894">
    <w:abstractNumId w:val="23"/>
  </w:num>
  <w:num w:numId="6" w16cid:durableId="1418019139">
    <w:abstractNumId w:val="15"/>
  </w:num>
  <w:num w:numId="7" w16cid:durableId="254899466">
    <w:abstractNumId w:val="16"/>
  </w:num>
  <w:num w:numId="8" w16cid:durableId="1972441855">
    <w:abstractNumId w:val="22"/>
  </w:num>
  <w:num w:numId="9" w16cid:durableId="974414311">
    <w:abstractNumId w:val="19"/>
  </w:num>
  <w:num w:numId="10" w16cid:durableId="441000784">
    <w:abstractNumId w:val="0"/>
  </w:num>
  <w:num w:numId="11" w16cid:durableId="1122841974">
    <w:abstractNumId w:val="6"/>
  </w:num>
  <w:num w:numId="12" w16cid:durableId="1515076713">
    <w:abstractNumId w:val="13"/>
  </w:num>
  <w:num w:numId="13" w16cid:durableId="630670043">
    <w:abstractNumId w:val="10"/>
  </w:num>
  <w:num w:numId="14" w16cid:durableId="1251743542">
    <w:abstractNumId w:val="9"/>
  </w:num>
  <w:num w:numId="15" w16cid:durableId="122386817">
    <w:abstractNumId w:val="5"/>
  </w:num>
  <w:num w:numId="16" w16cid:durableId="371417009">
    <w:abstractNumId w:val="14"/>
  </w:num>
  <w:num w:numId="17" w16cid:durableId="433138091">
    <w:abstractNumId w:val="12"/>
  </w:num>
  <w:num w:numId="18" w16cid:durableId="1659771620">
    <w:abstractNumId w:val="11"/>
  </w:num>
  <w:num w:numId="19" w16cid:durableId="6256104">
    <w:abstractNumId w:val="7"/>
  </w:num>
  <w:num w:numId="20" w16cid:durableId="381952996">
    <w:abstractNumId w:val="4"/>
  </w:num>
  <w:num w:numId="21" w16cid:durableId="1822040839">
    <w:abstractNumId w:val="20"/>
  </w:num>
  <w:num w:numId="22" w16cid:durableId="1207258723">
    <w:abstractNumId w:val="18"/>
  </w:num>
  <w:num w:numId="23" w16cid:durableId="1356080268">
    <w:abstractNumId w:val="17"/>
  </w:num>
  <w:num w:numId="24" w16cid:durableId="756443366">
    <w:abstractNumId w:val="1"/>
  </w:num>
  <w:num w:numId="25" w16cid:durableId="1359892189">
    <w:abstractNumId w:val="8"/>
  </w:num>
  <w:num w:numId="26" w16cid:durableId="491067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7ayrVGhMvn+P1zyuSAfxVx8P73hrDskKKGIe1RWKleqD2BzXlpjgChA0QtI3q0yEx9lyIO7fZdeWx8eL/YUk+w==" w:salt="gpoewR79WfXSGWufwjIU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620"/>
    <w:rsid w:val="0000237B"/>
    <w:rsid w:val="00002395"/>
    <w:rsid w:val="00010FD6"/>
    <w:rsid w:val="00016159"/>
    <w:rsid w:val="000212D1"/>
    <w:rsid w:val="00021930"/>
    <w:rsid w:val="00022310"/>
    <w:rsid w:val="00022A82"/>
    <w:rsid w:val="00031FAC"/>
    <w:rsid w:val="000322AB"/>
    <w:rsid w:val="00034317"/>
    <w:rsid w:val="00036B39"/>
    <w:rsid w:val="00051AB6"/>
    <w:rsid w:val="00060BD9"/>
    <w:rsid w:val="000742E0"/>
    <w:rsid w:val="00075392"/>
    <w:rsid w:val="000770B4"/>
    <w:rsid w:val="00092A44"/>
    <w:rsid w:val="00093067"/>
    <w:rsid w:val="000A3273"/>
    <w:rsid w:val="000A582C"/>
    <w:rsid w:val="000C1BDF"/>
    <w:rsid w:val="000C29D9"/>
    <w:rsid w:val="000C39A5"/>
    <w:rsid w:val="000C3EDD"/>
    <w:rsid w:val="000C409C"/>
    <w:rsid w:val="000C5DD7"/>
    <w:rsid w:val="000D5C69"/>
    <w:rsid w:val="000D75FF"/>
    <w:rsid w:val="000D79CD"/>
    <w:rsid w:val="000F599B"/>
    <w:rsid w:val="000F66F0"/>
    <w:rsid w:val="000F7FD8"/>
    <w:rsid w:val="00112F05"/>
    <w:rsid w:val="00117F79"/>
    <w:rsid w:val="00125FB4"/>
    <w:rsid w:val="00131BC8"/>
    <w:rsid w:val="001365FD"/>
    <w:rsid w:val="00137FA1"/>
    <w:rsid w:val="00141F72"/>
    <w:rsid w:val="0015468C"/>
    <w:rsid w:val="00172CB8"/>
    <w:rsid w:val="00173C6D"/>
    <w:rsid w:val="00174F99"/>
    <w:rsid w:val="00185035"/>
    <w:rsid w:val="001904B7"/>
    <w:rsid w:val="001A2697"/>
    <w:rsid w:val="001A2BD6"/>
    <w:rsid w:val="001A4BED"/>
    <w:rsid w:val="001B260D"/>
    <w:rsid w:val="001B6E03"/>
    <w:rsid w:val="001D4068"/>
    <w:rsid w:val="001D59AA"/>
    <w:rsid w:val="001E1B0E"/>
    <w:rsid w:val="001E6829"/>
    <w:rsid w:val="001F01CB"/>
    <w:rsid w:val="001F6BB4"/>
    <w:rsid w:val="00204CD9"/>
    <w:rsid w:val="00205499"/>
    <w:rsid w:val="002123DF"/>
    <w:rsid w:val="002334C4"/>
    <w:rsid w:val="00236E49"/>
    <w:rsid w:val="002379AB"/>
    <w:rsid w:val="002549E6"/>
    <w:rsid w:val="00261FCC"/>
    <w:rsid w:val="00266A74"/>
    <w:rsid w:val="0027281E"/>
    <w:rsid w:val="002808BC"/>
    <w:rsid w:val="002809E2"/>
    <w:rsid w:val="00282CD0"/>
    <w:rsid w:val="00284863"/>
    <w:rsid w:val="00295C84"/>
    <w:rsid w:val="002973B3"/>
    <w:rsid w:val="002A0164"/>
    <w:rsid w:val="002A141F"/>
    <w:rsid w:val="002B46E3"/>
    <w:rsid w:val="002B4928"/>
    <w:rsid w:val="002B5393"/>
    <w:rsid w:val="002B5455"/>
    <w:rsid w:val="002B5A77"/>
    <w:rsid w:val="002B61E4"/>
    <w:rsid w:val="002D3C47"/>
    <w:rsid w:val="002D430D"/>
    <w:rsid w:val="002D5931"/>
    <w:rsid w:val="002D5AAF"/>
    <w:rsid w:val="002E2F3A"/>
    <w:rsid w:val="002F27F8"/>
    <w:rsid w:val="0031313F"/>
    <w:rsid w:val="003138F9"/>
    <w:rsid w:val="0032578D"/>
    <w:rsid w:val="00346B79"/>
    <w:rsid w:val="00353439"/>
    <w:rsid w:val="00364E40"/>
    <w:rsid w:val="00366CBF"/>
    <w:rsid w:val="00387255"/>
    <w:rsid w:val="00387A40"/>
    <w:rsid w:val="00391F17"/>
    <w:rsid w:val="00392653"/>
    <w:rsid w:val="00392682"/>
    <w:rsid w:val="003A38DC"/>
    <w:rsid w:val="003A415B"/>
    <w:rsid w:val="003A56C1"/>
    <w:rsid w:val="003A7497"/>
    <w:rsid w:val="003B6E92"/>
    <w:rsid w:val="003C3FB9"/>
    <w:rsid w:val="003E0A6A"/>
    <w:rsid w:val="003F2C5E"/>
    <w:rsid w:val="003F7791"/>
    <w:rsid w:val="00406AB3"/>
    <w:rsid w:val="004272F2"/>
    <w:rsid w:val="00455FF2"/>
    <w:rsid w:val="00461587"/>
    <w:rsid w:val="00463F0D"/>
    <w:rsid w:val="00465624"/>
    <w:rsid w:val="00466D3D"/>
    <w:rsid w:val="00481DC2"/>
    <w:rsid w:val="0048450E"/>
    <w:rsid w:val="004874FE"/>
    <w:rsid w:val="00491741"/>
    <w:rsid w:val="00493BF7"/>
    <w:rsid w:val="004A27EA"/>
    <w:rsid w:val="004B1957"/>
    <w:rsid w:val="004C27DF"/>
    <w:rsid w:val="004D2495"/>
    <w:rsid w:val="004D4C70"/>
    <w:rsid w:val="004E00D9"/>
    <w:rsid w:val="004F2AA7"/>
    <w:rsid w:val="004F2DB0"/>
    <w:rsid w:val="004F68F2"/>
    <w:rsid w:val="005012DC"/>
    <w:rsid w:val="00501B3E"/>
    <w:rsid w:val="00504892"/>
    <w:rsid w:val="00516F5C"/>
    <w:rsid w:val="00522E1B"/>
    <w:rsid w:val="00524E99"/>
    <w:rsid w:val="00534114"/>
    <w:rsid w:val="005343AF"/>
    <w:rsid w:val="00541568"/>
    <w:rsid w:val="00546959"/>
    <w:rsid w:val="00547CE1"/>
    <w:rsid w:val="005566E3"/>
    <w:rsid w:val="0056628D"/>
    <w:rsid w:val="0057059C"/>
    <w:rsid w:val="00570F94"/>
    <w:rsid w:val="00592026"/>
    <w:rsid w:val="00597060"/>
    <w:rsid w:val="005A43A8"/>
    <w:rsid w:val="005A7B0B"/>
    <w:rsid w:val="005C01EB"/>
    <w:rsid w:val="005C2806"/>
    <w:rsid w:val="005C5D54"/>
    <w:rsid w:val="005C65B8"/>
    <w:rsid w:val="005E19C1"/>
    <w:rsid w:val="005F2D5C"/>
    <w:rsid w:val="005F6772"/>
    <w:rsid w:val="0060380B"/>
    <w:rsid w:val="00611266"/>
    <w:rsid w:val="0061563B"/>
    <w:rsid w:val="00623DBE"/>
    <w:rsid w:val="00625C23"/>
    <w:rsid w:val="00627D42"/>
    <w:rsid w:val="0063230E"/>
    <w:rsid w:val="00641ABF"/>
    <w:rsid w:val="006520ED"/>
    <w:rsid w:val="006536AF"/>
    <w:rsid w:val="00667D94"/>
    <w:rsid w:val="00675984"/>
    <w:rsid w:val="006808F5"/>
    <w:rsid w:val="006924CC"/>
    <w:rsid w:val="0069595F"/>
    <w:rsid w:val="006A007A"/>
    <w:rsid w:val="006A412D"/>
    <w:rsid w:val="006B55E9"/>
    <w:rsid w:val="006E4C47"/>
    <w:rsid w:val="006F618D"/>
    <w:rsid w:val="0070537D"/>
    <w:rsid w:val="00710F26"/>
    <w:rsid w:val="00715AFC"/>
    <w:rsid w:val="00722301"/>
    <w:rsid w:val="00725E72"/>
    <w:rsid w:val="00734473"/>
    <w:rsid w:val="00737756"/>
    <w:rsid w:val="00740229"/>
    <w:rsid w:val="00746CB2"/>
    <w:rsid w:val="00752134"/>
    <w:rsid w:val="00755C7A"/>
    <w:rsid w:val="00761B14"/>
    <w:rsid w:val="0076636B"/>
    <w:rsid w:val="00766DD8"/>
    <w:rsid w:val="00775725"/>
    <w:rsid w:val="007761C8"/>
    <w:rsid w:val="007804E9"/>
    <w:rsid w:val="007949E4"/>
    <w:rsid w:val="007A5BE6"/>
    <w:rsid w:val="007D140B"/>
    <w:rsid w:val="007D6D63"/>
    <w:rsid w:val="007E53F9"/>
    <w:rsid w:val="007E5782"/>
    <w:rsid w:val="007E6D97"/>
    <w:rsid w:val="007F2642"/>
    <w:rsid w:val="007F3947"/>
    <w:rsid w:val="007F66C1"/>
    <w:rsid w:val="008035FA"/>
    <w:rsid w:val="00805392"/>
    <w:rsid w:val="00810722"/>
    <w:rsid w:val="00826269"/>
    <w:rsid w:val="00831B45"/>
    <w:rsid w:val="00842927"/>
    <w:rsid w:val="00862F89"/>
    <w:rsid w:val="00866D07"/>
    <w:rsid w:val="00872123"/>
    <w:rsid w:val="008756AE"/>
    <w:rsid w:val="00877366"/>
    <w:rsid w:val="00877AD9"/>
    <w:rsid w:val="00883ACF"/>
    <w:rsid w:val="00884743"/>
    <w:rsid w:val="00890B20"/>
    <w:rsid w:val="00897F62"/>
    <w:rsid w:val="008A3D39"/>
    <w:rsid w:val="008A753B"/>
    <w:rsid w:val="008A75E7"/>
    <w:rsid w:val="008B11FC"/>
    <w:rsid w:val="008B3E3D"/>
    <w:rsid w:val="008C27F0"/>
    <w:rsid w:val="008C5347"/>
    <w:rsid w:val="008D5115"/>
    <w:rsid w:val="008D51A2"/>
    <w:rsid w:val="008D6191"/>
    <w:rsid w:val="008D645C"/>
    <w:rsid w:val="008E1CA3"/>
    <w:rsid w:val="008E43CD"/>
    <w:rsid w:val="008E6FF7"/>
    <w:rsid w:val="009253EA"/>
    <w:rsid w:val="00936356"/>
    <w:rsid w:val="00936B26"/>
    <w:rsid w:val="0095235D"/>
    <w:rsid w:val="00952EEA"/>
    <w:rsid w:val="00962407"/>
    <w:rsid w:val="009765FA"/>
    <w:rsid w:val="00977213"/>
    <w:rsid w:val="0099243C"/>
    <w:rsid w:val="009A55E7"/>
    <w:rsid w:val="009A6CD4"/>
    <w:rsid w:val="009C1EC9"/>
    <w:rsid w:val="009C5532"/>
    <w:rsid w:val="009C555C"/>
    <w:rsid w:val="009C7E58"/>
    <w:rsid w:val="009D5065"/>
    <w:rsid w:val="009F109E"/>
    <w:rsid w:val="009F2503"/>
    <w:rsid w:val="00A024F6"/>
    <w:rsid w:val="00A05070"/>
    <w:rsid w:val="00A0778A"/>
    <w:rsid w:val="00A13661"/>
    <w:rsid w:val="00A235FC"/>
    <w:rsid w:val="00A26BC7"/>
    <w:rsid w:val="00A30554"/>
    <w:rsid w:val="00A364D8"/>
    <w:rsid w:val="00A45529"/>
    <w:rsid w:val="00A50F62"/>
    <w:rsid w:val="00A51C2F"/>
    <w:rsid w:val="00A54687"/>
    <w:rsid w:val="00A72ECC"/>
    <w:rsid w:val="00A84615"/>
    <w:rsid w:val="00A85DEC"/>
    <w:rsid w:val="00A8610F"/>
    <w:rsid w:val="00AA5CCD"/>
    <w:rsid w:val="00AA66D6"/>
    <w:rsid w:val="00AA6DE3"/>
    <w:rsid w:val="00AB23D9"/>
    <w:rsid w:val="00AD460A"/>
    <w:rsid w:val="00AE23EE"/>
    <w:rsid w:val="00AF0D64"/>
    <w:rsid w:val="00B0466A"/>
    <w:rsid w:val="00B06C4D"/>
    <w:rsid w:val="00B074DE"/>
    <w:rsid w:val="00B11D7D"/>
    <w:rsid w:val="00B14C3A"/>
    <w:rsid w:val="00B15FE8"/>
    <w:rsid w:val="00B51DAB"/>
    <w:rsid w:val="00B55B0F"/>
    <w:rsid w:val="00B7284B"/>
    <w:rsid w:val="00B73DA1"/>
    <w:rsid w:val="00B87527"/>
    <w:rsid w:val="00B91E7E"/>
    <w:rsid w:val="00B94076"/>
    <w:rsid w:val="00B97857"/>
    <w:rsid w:val="00BD2295"/>
    <w:rsid w:val="00BD4FB5"/>
    <w:rsid w:val="00BD64CF"/>
    <w:rsid w:val="00BE2889"/>
    <w:rsid w:val="00BE361F"/>
    <w:rsid w:val="00BF04A8"/>
    <w:rsid w:val="00BF7F73"/>
    <w:rsid w:val="00C1121E"/>
    <w:rsid w:val="00C11B9A"/>
    <w:rsid w:val="00C20812"/>
    <w:rsid w:val="00C24557"/>
    <w:rsid w:val="00C32565"/>
    <w:rsid w:val="00C34D11"/>
    <w:rsid w:val="00C45255"/>
    <w:rsid w:val="00C511AA"/>
    <w:rsid w:val="00C54F81"/>
    <w:rsid w:val="00C55E22"/>
    <w:rsid w:val="00C67C56"/>
    <w:rsid w:val="00C738EA"/>
    <w:rsid w:val="00C7530F"/>
    <w:rsid w:val="00C80252"/>
    <w:rsid w:val="00C816E4"/>
    <w:rsid w:val="00C83682"/>
    <w:rsid w:val="00C86D8C"/>
    <w:rsid w:val="00C907B2"/>
    <w:rsid w:val="00C91098"/>
    <w:rsid w:val="00C96C94"/>
    <w:rsid w:val="00CA7401"/>
    <w:rsid w:val="00CB0E48"/>
    <w:rsid w:val="00CB27A3"/>
    <w:rsid w:val="00CB5311"/>
    <w:rsid w:val="00CC16EB"/>
    <w:rsid w:val="00CC2073"/>
    <w:rsid w:val="00CC2E7F"/>
    <w:rsid w:val="00CE2DA2"/>
    <w:rsid w:val="00CE4358"/>
    <w:rsid w:val="00D07667"/>
    <w:rsid w:val="00D076A6"/>
    <w:rsid w:val="00D1185E"/>
    <w:rsid w:val="00D12A68"/>
    <w:rsid w:val="00D20E2F"/>
    <w:rsid w:val="00D2154A"/>
    <w:rsid w:val="00D23289"/>
    <w:rsid w:val="00D27D3E"/>
    <w:rsid w:val="00D316E0"/>
    <w:rsid w:val="00D32843"/>
    <w:rsid w:val="00D334D6"/>
    <w:rsid w:val="00D40EE9"/>
    <w:rsid w:val="00D44E55"/>
    <w:rsid w:val="00D57DF2"/>
    <w:rsid w:val="00D66807"/>
    <w:rsid w:val="00D720A2"/>
    <w:rsid w:val="00D803CC"/>
    <w:rsid w:val="00D825AD"/>
    <w:rsid w:val="00D84879"/>
    <w:rsid w:val="00D92435"/>
    <w:rsid w:val="00D97322"/>
    <w:rsid w:val="00DA657E"/>
    <w:rsid w:val="00DA7BBC"/>
    <w:rsid w:val="00DB40A2"/>
    <w:rsid w:val="00DB4D60"/>
    <w:rsid w:val="00DC281C"/>
    <w:rsid w:val="00DD4773"/>
    <w:rsid w:val="00DD6A9D"/>
    <w:rsid w:val="00DE3C08"/>
    <w:rsid w:val="00DE478E"/>
    <w:rsid w:val="00DF13B7"/>
    <w:rsid w:val="00DF3EBD"/>
    <w:rsid w:val="00DF6AFA"/>
    <w:rsid w:val="00E0367A"/>
    <w:rsid w:val="00E1368E"/>
    <w:rsid w:val="00E45A0B"/>
    <w:rsid w:val="00E47823"/>
    <w:rsid w:val="00E55260"/>
    <w:rsid w:val="00E67945"/>
    <w:rsid w:val="00E760A6"/>
    <w:rsid w:val="00E81F80"/>
    <w:rsid w:val="00E94B92"/>
    <w:rsid w:val="00EA2D43"/>
    <w:rsid w:val="00EA6F7E"/>
    <w:rsid w:val="00EB50F7"/>
    <w:rsid w:val="00EB78A2"/>
    <w:rsid w:val="00EC6CFE"/>
    <w:rsid w:val="00ED046D"/>
    <w:rsid w:val="00EE6A9B"/>
    <w:rsid w:val="00EF46A8"/>
    <w:rsid w:val="00F0455E"/>
    <w:rsid w:val="00F15E29"/>
    <w:rsid w:val="00F164DD"/>
    <w:rsid w:val="00F16F48"/>
    <w:rsid w:val="00F203BF"/>
    <w:rsid w:val="00F2054D"/>
    <w:rsid w:val="00F22A0B"/>
    <w:rsid w:val="00F23F32"/>
    <w:rsid w:val="00F30CAB"/>
    <w:rsid w:val="00F4341E"/>
    <w:rsid w:val="00F46CD8"/>
    <w:rsid w:val="00F716D8"/>
    <w:rsid w:val="00F8185F"/>
    <w:rsid w:val="00F83EF0"/>
    <w:rsid w:val="00F945C2"/>
    <w:rsid w:val="00FA111A"/>
    <w:rsid w:val="00FA2AEE"/>
    <w:rsid w:val="00FA791D"/>
    <w:rsid w:val="00FB57BB"/>
    <w:rsid w:val="00FC4088"/>
    <w:rsid w:val="00FC50E0"/>
    <w:rsid w:val="00FC789B"/>
    <w:rsid w:val="00FD4F0A"/>
    <w:rsid w:val="00FD69CA"/>
    <w:rsid w:val="00FD6F7D"/>
    <w:rsid w:val="00FE4DA5"/>
    <w:rsid w:val="00FE4FDA"/>
    <w:rsid w:val="00FE56CC"/>
    <w:rsid w:val="00FF219A"/>
    <w:rsid w:val="00FF31CF"/>
    <w:rsid w:val="00FF4B36"/>
    <w:rsid w:val="00F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aliases w:val="body text1"/>
    <w:basedOn w:val="Normal"/>
    <w:link w:val="ListParagraphChar"/>
    <w:uiPriority w:val="34"/>
    <w:qFormat/>
    <w:rsid w:val="006A007A"/>
    <w:pPr>
      <w:ind w:left="720"/>
      <w:contextualSpacing/>
    </w:pPr>
  </w:style>
  <w:style w:type="paragraph" w:styleId="NormalWeb">
    <w:name w:val="Normal (Web)"/>
    <w:basedOn w:val="Normal"/>
    <w:uiPriority w:val="99"/>
    <w:unhideWhenUsed/>
    <w:rsid w:val="008756AE"/>
    <w:pPr>
      <w:spacing w:after="0" w:line="240" w:lineRule="auto"/>
    </w:pPr>
    <w:rPr>
      <w:rFonts w:ascii="Calibri" w:hAnsi="Calibri" w:cs="Calibri"/>
      <w:lang w:eastAsia="en-GB"/>
    </w:rPr>
  </w:style>
  <w:style w:type="paragraph" w:styleId="Revision">
    <w:name w:val="Revision"/>
    <w:hidden/>
    <w:uiPriority w:val="99"/>
    <w:semiHidden/>
    <w:rsid w:val="001A2697"/>
    <w:pPr>
      <w:spacing w:after="0" w:line="240" w:lineRule="auto"/>
    </w:pPr>
  </w:style>
  <w:style w:type="character" w:customStyle="1" w:styleId="ListParagraphChar">
    <w:name w:val="List Paragraph Char"/>
    <w:aliases w:val="body text1 Char"/>
    <w:basedOn w:val="DefaultParagraphFont"/>
    <w:link w:val="ListParagraph"/>
    <w:uiPriority w:val="34"/>
    <w:locked/>
    <w:rsid w:val="00883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51449">
      <w:bodyDiv w:val="1"/>
      <w:marLeft w:val="0"/>
      <w:marRight w:val="0"/>
      <w:marTop w:val="0"/>
      <w:marBottom w:val="0"/>
      <w:divBdr>
        <w:top w:val="none" w:sz="0" w:space="0" w:color="auto"/>
        <w:left w:val="none" w:sz="0" w:space="0" w:color="auto"/>
        <w:bottom w:val="none" w:sz="0" w:space="0" w:color="auto"/>
        <w:right w:val="none" w:sz="0" w:space="0" w:color="auto"/>
      </w:divBdr>
      <w:divsChild>
        <w:div w:id="1829638533">
          <w:marLeft w:val="0"/>
          <w:marRight w:val="0"/>
          <w:marTop w:val="0"/>
          <w:marBottom w:val="0"/>
          <w:divBdr>
            <w:top w:val="none" w:sz="0" w:space="0" w:color="auto"/>
            <w:left w:val="none" w:sz="0" w:space="0" w:color="auto"/>
            <w:bottom w:val="none" w:sz="0" w:space="0" w:color="auto"/>
            <w:right w:val="none" w:sz="0" w:space="0" w:color="auto"/>
          </w:divBdr>
        </w:div>
      </w:divsChild>
    </w:div>
    <w:div w:id="7958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A483A-8D9F-4AB7-AEF3-D596CECE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2179</Words>
  <Characters>12425</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cp:revision>
  <cp:lastPrinted>2020-02-14T13:30:00Z</cp:lastPrinted>
  <dcterms:created xsi:type="dcterms:W3CDTF">2023-11-23T11:43:00Z</dcterms:created>
  <dcterms:modified xsi:type="dcterms:W3CDTF">2023-11-23T14:20:00Z</dcterms:modified>
  <cp:contentStatus/>
</cp:coreProperties>
</file>