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70" w:type="dxa"/>
        <w:tblInd w:w="-431" w:type="dxa"/>
        <w:tblLook w:val="04A0" w:firstRow="1" w:lastRow="0" w:firstColumn="1" w:lastColumn="0" w:noHBand="0" w:noVBand="1"/>
      </w:tblPr>
      <w:tblGrid>
        <w:gridCol w:w="5248"/>
        <w:gridCol w:w="2112"/>
        <w:gridCol w:w="2710"/>
      </w:tblGrid>
      <w:tr w:rsidR="008A753B" w:rsidRPr="008A753B" w14:paraId="2A4DDC6B" w14:textId="77777777" w:rsidTr="6B835C32">
        <w:tc>
          <w:tcPr>
            <w:tcW w:w="10070" w:type="dxa"/>
            <w:gridSpan w:val="3"/>
            <w:shd w:val="clear" w:color="auto" w:fill="auto"/>
          </w:tcPr>
          <w:p w14:paraId="08406ACC" w14:textId="21D43C57" w:rsidR="0000042C" w:rsidRPr="008A753B" w:rsidRDefault="00FC70F1" w:rsidP="00AA5CCD">
            <w:pPr>
              <w:spacing w:before="120" w:after="120"/>
              <w:rPr>
                <w:b/>
                <w:bCs/>
                <w:sz w:val="24"/>
                <w:szCs w:val="24"/>
              </w:rPr>
            </w:pPr>
            <w:r>
              <w:rPr>
                <w:b/>
                <w:bCs/>
                <w:sz w:val="24"/>
                <w:szCs w:val="24"/>
              </w:rPr>
              <w:t xml:space="preserve">CONFIRMED </w:t>
            </w:r>
            <w:r w:rsidR="005566E3" w:rsidRPr="008A753B">
              <w:rPr>
                <w:b/>
                <w:bCs/>
                <w:sz w:val="24"/>
                <w:szCs w:val="24"/>
              </w:rPr>
              <w:t xml:space="preserve">MINUTES OF THE MEETING HELD ON </w:t>
            </w:r>
            <w:r w:rsidR="003E6399">
              <w:rPr>
                <w:b/>
                <w:bCs/>
                <w:sz w:val="24"/>
                <w:szCs w:val="24"/>
              </w:rPr>
              <w:t>9 MARCH 2023</w:t>
            </w:r>
          </w:p>
        </w:tc>
      </w:tr>
      <w:tr w:rsidR="008A753B" w:rsidRPr="008A753B" w14:paraId="648655F8" w14:textId="77777777" w:rsidTr="6B835C32">
        <w:tc>
          <w:tcPr>
            <w:tcW w:w="10070" w:type="dxa"/>
            <w:gridSpan w:val="3"/>
          </w:tcPr>
          <w:p w14:paraId="6265554D" w14:textId="2757B112" w:rsidR="0056628D" w:rsidRPr="008A753B" w:rsidRDefault="0056628D" w:rsidP="000C3EDD">
            <w:pPr>
              <w:pStyle w:val="Heading2"/>
              <w:rPr>
                <w:b w:val="0"/>
              </w:rPr>
            </w:pPr>
            <w:r w:rsidRPr="008A753B">
              <w:t>PRESENT:</w:t>
            </w:r>
          </w:p>
        </w:tc>
      </w:tr>
      <w:tr w:rsidR="00C43844" w:rsidRPr="00051DDA" w14:paraId="59564E5D" w14:textId="77777777" w:rsidTr="6B835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8" w:type="dxa"/>
            <w:tcBorders>
              <w:top w:val="single" w:sz="4" w:space="0" w:color="auto"/>
              <w:left w:val="single" w:sz="0" w:space="0" w:color="000000" w:themeColor="text1"/>
              <w:bottom w:val="single" w:sz="0" w:space="0" w:color="000000" w:themeColor="text1"/>
              <w:right w:val="single" w:sz="0" w:space="0" w:color="000000" w:themeColor="text1"/>
            </w:tcBorders>
          </w:tcPr>
          <w:p w14:paraId="28D5DFA4" w14:textId="5DCA6B17" w:rsidR="00C43844" w:rsidRPr="00051DDA" w:rsidRDefault="00C43844">
            <w:pPr>
              <w:spacing w:before="60"/>
              <w:rPr>
                <w:sz w:val="24"/>
                <w:szCs w:val="24"/>
              </w:rPr>
            </w:pPr>
            <w:r w:rsidRPr="00051DDA">
              <w:rPr>
                <w:sz w:val="24"/>
                <w:szCs w:val="24"/>
              </w:rPr>
              <w:t>Joanna Allen (ARC Chair)</w:t>
            </w:r>
            <w:r w:rsidR="00235433">
              <w:rPr>
                <w:sz w:val="24"/>
                <w:szCs w:val="24"/>
              </w:rPr>
              <w:t xml:space="preserve"> </w:t>
            </w:r>
          </w:p>
        </w:tc>
        <w:tc>
          <w:tcPr>
            <w:tcW w:w="4822" w:type="dxa"/>
            <w:gridSpan w:val="2"/>
            <w:tcBorders>
              <w:top w:val="single" w:sz="4" w:space="0" w:color="auto"/>
              <w:left w:val="single" w:sz="0" w:space="0" w:color="000000" w:themeColor="text1"/>
              <w:bottom w:val="single" w:sz="0" w:space="0" w:color="000000" w:themeColor="text1"/>
              <w:right w:val="single" w:sz="0" w:space="0" w:color="000000" w:themeColor="text1"/>
            </w:tcBorders>
          </w:tcPr>
          <w:p w14:paraId="2FF15BAA" w14:textId="08D380A0" w:rsidR="00C43844" w:rsidRPr="00051DDA" w:rsidRDefault="00C43844">
            <w:pPr>
              <w:spacing w:before="60"/>
              <w:rPr>
                <w:sz w:val="24"/>
                <w:szCs w:val="24"/>
              </w:rPr>
            </w:pPr>
            <w:r w:rsidRPr="00051DDA">
              <w:rPr>
                <w:sz w:val="24"/>
                <w:szCs w:val="24"/>
              </w:rPr>
              <w:t>Matt Lilley</w:t>
            </w:r>
          </w:p>
        </w:tc>
      </w:tr>
      <w:tr w:rsidR="00C43844" w:rsidRPr="00051DDA" w14:paraId="078319D8" w14:textId="77777777" w:rsidTr="6B835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F093C2C" w14:textId="6535B470" w:rsidR="00C43844" w:rsidRPr="00051DDA" w:rsidRDefault="00235433">
            <w:pPr>
              <w:spacing w:before="60"/>
              <w:rPr>
                <w:sz w:val="24"/>
                <w:szCs w:val="24"/>
              </w:rPr>
            </w:pPr>
            <w:r w:rsidRPr="002A78CD">
              <w:rPr>
                <w:sz w:val="24"/>
                <w:szCs w:val="24"/>
              </w:rPr>
              <w:t>Ian Hall</w:t>
            </w:r>
          </w:p>
        </w:tc>
        <w:tc>
          <w:tcPr>
            <w:tcW w:w="4822" w:type="dxa"/>
            <w:gridSpan w:val="2"/>
            <w:tcBorders>
              <w:top w:val="single" w:sz="0" w:space="0" w:color="000000" w:themeColor="text1"/>
              <w:left w:val="single" w:sz="0" w:space="0" w:color="000000" w:themeColor="text1"/>
              <w:bottom w:val="single" w:sz="4" w:space="0" w:color="auto"/>
              <w:right w:val="single" w:sz="0" w:space="0" w:color="000000" w:themeColor="text1"/>
            </w:tcBorders>
          </w:tcPr>
          <w:p w14:paraId="00563D87" w14:textId="6641AB33" w:rsidR="00C43844" w:rsidRPr="00051DDA" w:rsidRDefault="00235433">
            <w:pPr>
              <w:spacing w:before="60"/>
              <w:rPr>
                <w:sz w:val="24"/>
                <w:szCs w:val="24"/>
              </w:rPr>
            </w:pPr>
            <w:r>
              <w:rPr>
                <w:sz w:val="24"/>
                <w:szCs w:val="24"/>
              </w:rPr>
              <w:t>Theresa Spencer</w:t>
            </w:r>
          </w:p>
        </w:tc>
      </w:tr>
      <w:tr w:rsidR="00B72B9A" w:rsidRPr="00051DDA" w14:paraId="6C89B0FD" w14:textId="77777777" w:rsidTr="6B835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4D969DC" w14:textId="26880326" w:rsidR="00B72B9A" w:rsidRPr="00051DDA" w:rsidRDefault="00235433">
            <w:pPr>
              <w:spacing w:before="60"/>
              <w:rPr>
                <w:sz w:val="24"/>
                <w:szCs w:val="24"/>
              </w:rPr>
            </w:pPr>
            <w:r w:rsidRPr="00051DDA">
              <w:rPr>
                <w:sz w:val="24"/>
                <w:szCs w:val="24"/>
              </w:rPr>
              <w:t>Sameer Kothari</w:t>
            </w:r>
          </w:p>
        </w:tc>
        <w:tc>
          <w:tcPr>
            <w:tcW w:w="4822" w:type="dxa"/>
            <w:gridSpan w:val="2"/>
            <w:tcBorders>
              <w:top w:val="single" w:sz="0" w:space="0" w:color="000000" w:themeColor="text1"/>
              <w:left w:val="single" w:sz="0" w:space="0" w:color="000000" w:themeColor="text1"/>
              <w:bottom w:val="single" w:sz="4" w:space="0" w:color="auto"/>
              <w:right w:val="single" w:sz="0" w:space="0" w:color="000000" w:themeColor="text1"/>
            </w:tcBorders>
          </w:tcPr>
          <w:p w14:paraId="23BEDF4F" w14:textId="7EF05DC8" w:rsidR="00B72B9A" w:rsidRDefault="00B72B9A">
            <w:pPr>
              <w:spacing w:before="60"/>
              <w:rPr>
                <w:sz w:val="24"/>
                <w:szCs w:val="24"/>
              </w:rPr>
            </w:pPr>
          </w:p>
        </w:tc>
      </w:tr>
      <w:tr w:rsidR="00256805" w:rsidRPr="00256805" w14:paraId="3B832073" w14:textId="77777777" w:rsidTr="6B835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60" w:type="dxa"/>
            <w:gridSpan w:val="2"/>
            <w:tcBorders>
              <w:top w:val="single" w:sz="4" w:space="0" w:color="auto"/>
              <w:left w:val="single" w:sz="0" w:space="0" w:color="000000" w:themeColor="text1"/>
              <w:bottom w:val="single" w:sz="0" w:space="0" w:color="000000" w:themeColor="text1"/>
              <w:right w:val="single" w:sz="0" w:space="0" w:color="000000" w:themeColor="text1"/>
            </w:tcBorders>
          </w:tcPr>
          <w:p w14:paraId="4E995E0E" w14:textId="545704FC" w:rsidR="00256805" w:rsidRPr="00256805" w:rsidRDefault="00256805">
            <w:pPr>
              <w:spacing w:before="60"/>
              <w:rPr>
                <w:b/>
                <w:bCs/>
                <w:sz w:val="24"/>
                <w:szCs w:val="24"/>
              </w:rPr>
            </w:pPr>
            <w:r w:rsidRPr="00256805">
              <w:rPr>
                <w:b/>
                <w:bCs/>
                <w:sz w:val="24"/>
                <w:szCs w:val="24"/>
              </w:rPr>
              <w:t>IN ATTENDANCE:</w:t>
            </w:r>
          </w:p>
        </w:tc>
        <w:tc>
          <w:tcPr>
            <w:tcW w:w="2710" w:type="dxa"/>
            <w:tcBorders>
              <w:top w:val="single" w:sz="4" w:space="0" w:color="auto"/>
              <w:left w:val="single" w:sz="0" w:space="0" w:color="000000" w:themeColor="text1"/>
              <w:bottom w:val="single" w:sz="0" w:space="0" w:color="000000" w:themeColor="text1"/>
              <w:right w:val="single" w:sz="0" w:space="0" w:color="000000" w:themeColor="text1"/>
            </w:tcBorders>
          </w:tcPr>
          <w:p w14:paraId="6CBA20A4" w14:textId="63D5D560" w:rsidR="00256805" w:rsidRPr="00256805" w:rsidRDefault="00256805">
            <w:pPr>
              <w:spacing w:before="60"/>
              <w:rPr>
                <w:b/>
                <w:bCs/>
                <w:sz w:val="24"/>
                <w:szCs w:val="24"/>
              </w:rPr>
            </w:pPr>
            <w:r w:rsidRPr="00256805">
              <w:rPr>
                <w:b/>
                <w:bCs/>
                <w:sz w:val="24"/>
                <w:szCs w:val="24"/>
              </w:rPr>
              <w:t>AGENDA ITEM</w:t>
            </w:r>
          </w:p>
        </w:tc>
      </w:tr>
      <w:tr w:rsidR="00B72B9A" w:rsidRPr="00051DDA" w14:paraId="2C46FB97" w14:textId="77777777" w:rsidTr="009C6A86">
        <w:tc>
          <w:tcPr>
            <w:tcW w:w="7360" w:type="dxa"/>
            <w:gridSpan w:val="2"/>
          </w:tcPr>
          <w:p w14:paraId="5E213A32" w14:textId="41EE63A4" w:rsidR="00B72B9A" w:rsidRPr="00B72B9A" w:rsidRDefault="00B72B9A" w:rsidP="009C6A86">
            <w:pPr>
              <w:spacing w:before="60"/>
              <w:rPr>
                <w:sz w:val="24"/>
                <w:szCs w:val="24"/>
              </w:rPr>
            </w:pPr>
            <w:r w:rsidRPr="002C1CD8">
              <w:rPr>
                <w:sz w:val="24"/>
                <w:szCs w:val="24"/>
              </w:rPr>
              <w:t>Michaela Boryslawskyj, University Secretary</w:t>
            </w:r>
          </w:p>
        </w:tc>
        <w:tc>
          <w:tcPr>
            <w:tcW w:w="2710" w:type="dxa"/>
          </w:tcPr>
          <w:p w14:paraId="3BC2691B" w14:textId="6711105E" w:rsidR="00B72B9A" w:rsidRPr="00051DDA" w:rsidRDefault="00235433" w:rsidP="009C6A86">
            <w:pPr>
              <w:spacing w:before="60"/>
              <w:rPr>
                <w:sz w:val="24"/>
                <w:szCs w:val="24"/>
              </w:rPr>
            </w:pPr>
            <w:r>
              <w:rPr>
                <w:sz w:val="24"/>
                <w:szCs w:val="24"/>
              </w:rPr>
              <w:t>All</w:t>
            </w:r>
          </w:p>
        </w:tc>
      </w:tr>
      <w:tr w:rsidR="00B72B9A" w:rsidRPr="00051DDA" w14:paraId="500BD56D" w14:textId="77777777" w:rsidTr="009C6A86">
        <w:tc>
          <w:tcPr>
            <w:tcW w:w="7360" w:type="dxa"/>
            <w:gridSpan w:val="2"/>
          </w:tcPr>
          <w:p w14:paraId="618D355C" w14:textId="1CA93F6E" w:rsidR="00B72B9A" w:rsidRPr="002C1CD8" w:rsidRDefault="00B72B9A" w:rsidP="009C6A86">
            <w:pPr>
              <w:spacing w:before="60"/>
              <w:rPr>
                <w:sz w:val="24"/>
                <w:szCs w:val="24"/>
              </w:rPr>
            </w:pPr>
            <w:r>
              <w:rPr>
                <w:sz w:val="24"/>
                <w:szCs w:val="24"/>
              </w:rPr>
              <w:t>Alison Breadon, PwC</w:t>
            </w:r>
          </w:p>
        </w:tc>
        <w:tc>
          <w:tcPr>
            <w:tcW w:w="2710" w:type="dxa"/>
          </w:tcPr>
          <w:p w14:paraId="01450635" w14:textId="6D0B25B6" w:rsidR="00B72B9A" w:rsidRPr="00051DDA" w:rsidRDefault="000556C2" w:rsidP="009C6A86">
            <w:pPr>
              <w:spacing w:before="60"/>
              <w:rPr>
                <w:sz w:val="24"/>
                <w:szCs w:val="24"/>
              </w:rPr>
            </w:pPr>
            <w:r>
              <w:rPr>
                <w:sz w:val="24"/>
                <w:szCs w:val="24"/>
              </w:rPr>
              <w:t>Item 2</w:t>
            </w:r>
            <w:r w:rsidR="0044134F">
              <w:rPr>
                <w:sz w:val="24"/>
                <w:szCs w:val="24"/>
              </w:rPr>
              <w:t xml:space="preserve"> </w:t>
            </w:r>
            <w:r w:rsidR="00C75E13">
              <w:rPr>
                <w:sz w:val="24"/>
                <w:szCs w:val="24"/>
              </w:rPr>
              <w:t>to item 8i</w:t>
            </w:r>
          </w:p>
        </w:tc>
      </w:tr>
      <w:tr w:rsidR="00B72B9A" w:rsidRPr="00051DDA" w14:paraId="2BC92816" w14:textId="77777777" w:rsidTr="009C6A86">
        <w:tc>
          <w:tcPr>
            <w:tcW w:w="7360" w:type="dxa"/>
            <w:gridSpan w:val="2"/>
          </w:tcPr>
          <w:p w14:paraId="3A2E8DF9" w14:textId="77777777" w:rsidR="00B72B9A" w:rsidRPr="002C1CD8" w:rsidRDefault="00B72B9A" w:rsidP="009C6A86">
            <w:pPr>
              <w:spacing w:before="60"/>
              <w:rPr>
                <w:sz w:val="24"/>
                <w:szCs w:val="24"/>
              </w:rPr>
            </w:pPr>
            <w:r w:rsidRPr="002C1CD8">
              <w:rPr>
                <w:sz w:val="24"/>
                <w:szCs w:val="24"/>
              </w:rPr>
              <w:t>Richard Calvert, DVC Strategy and Operations (DVCSO)</w:t>
            </w:r>
          </w:p>
        </w:tc>
        <w:tc>
          <w:tcPr>
            <w:tcW w:w="2710" w:type="dxa"/>
          </w:tcPr>
          <w:p w14:paraId="27095330" w14:textId="5B2D8741" w:rsidR="00B72B9A" w:rsidRDefault="00235433" w:rsidP="009C6A86">
            <w:pPr>
              <w:spacing w:before="60"/>
              <w:rPr>
                <w:sz w:val="24"/>
                <w:szCs w:val="24"/>
              </w:rPr>
            </w:pPr>
            <w:r>
              <w:rPr>
                <w:sz w:val="24"/>
                <w:szCs w:val="24"/>
              </w:rPr>
              <w:t>All except 1</w:t>
            </w:r>
          </w:p>
        </w:tc>
      </w:tr>
      <w:tr w:rsidR="00B72B9A" w:rsidRPr="00051DDA" w14:paraId="645D1369" w14:textId="77777777" w:rsidTr="009C6A86">
        <w:tc>
          <w:tcPr>
            <w:tcW w:w="7360" w:type="dxa"/>
            <w:gridSpan w:val="2"/>
          </w:tcPr>
          <w:p w14:paraId="5F13B10D" w14:textId="77777777" w:rsidR="00B72B9A" w:rsidRPr="002C1CD8" w:rsidRDefault="00B72B9A" w:rsidP="009C6A86">
            <w:pPr>
              <w:spacing w:before="60"/>
              <w:rPr>
                <w:sz w:val="24"/>
                <w:szCs w:val="24"/>
              </w:rPr>
            </w:pPr>
            <w:r w:rsidRPr="002C1CD8">
              <w:rPr>
                <w:sz w:val="24"/>
                <w:szCs w:val="24"/>
              </w:rPr>
              <w:t>Benjamin Connor, PwC</w:t>
            </w:r>
          </w:p>
        </w:tc>
        <w:tc>
          <w:tcPr>
            <w:tcW w:w="2710" w:type="dxa"/>
          </w:tcPr>
          <w:p w14:paraId="117C307E" w14:textId="66943215" w:rsidR="00B72B9A" w:rsidRPr="00051DDA" w:rsidRDefault="000556C2" w:rsidP="009C6A86">
            <w:pPr>
              <w:spacing w:before="60"/>
              <w:rPr>
                <w:sz w:val="24"/>
                <w:szCs w:val="24"/>
              </w:rPr>
            </w:pPr>
            <w:r>
              <w:rPr>
                <w:sz w:val="24"/>
                <w:szCs w:val="24"/>
              </w:rPr>
              <w:t>Item 2</w:t>
            </w:r>
            <w:r w:rsidR="0044134F">
              <w:rPr>
                <w:sz w:val="24"/>
                <w:szCs w:val="24"/>
              </w:rPr>
              <w:t xml:space="preserve"> </w:t>
            </w:r>
            <w:r w:rsidR="00C75E13">
              <w:rPr>
                <w:sz w:val="24"/>
                <w:szCs w:val="24"/>
              </w:rPr>
              <w:t>to item 8i</w:t>
            </w:r>
          </w:p>
        </w:tc>
      </w:tr>
      <w:tr w:rsidR="00B72B9A" w:rsidRPr="008A753B" w14:paraId="18CEB977" w14:textId="77777777" w:rsidTr="009C6A86">
        <w:tc>
          <w:tcPr>
            <w:tcW w:w="7360" w:type="dxa"/>
            <w:gridSpan w:val="2"/>
          </w:tcPr>
          <w:p w14:paraId="25BE68B1" w14:textId="21AAFB10" w:rsidR="00B72B9A" w:rsidRPr="002C1CD8" w:rsidRDefault="0002724F" w:rsidP="009C6A86">
            <w:pPr>
              <w:spacing w:before="60"/>
              <w:rPr>
                <w:sz w:val="24"/>
                <w:szCs w:val="24"/>
              </w:rPr>
            </w:pPr>
            <w:r>
              <w:rPr>
                <w:sz w:val="24"/>
                <w:szCs w:val="24"/>
              </w:rPr>
              <w:t>Ryan Keyworth, Chief Finance Officer (CFO)</w:t>
            </w:r>
          </w:p>
        </w:tc>
        <w:tc>
          <w:tcPr>
            <w:tcW w:w="2710" w:type="dxa"/>
          </w:tcPr>
          <w:p w14:paraId="14C30620" w14:textId="55365D6D" w:rsidR="00B72B9A" w:rsidRPr="008A753B" w:rsidRDefault="0002724F" w:rsidP="009C6A86">
            <w:pPr>
              <w:spacing w:before="60" w:after="60"/>
              <w:rPr>
                <w:sz w:val="24"/>
                <w:szCs w:val="24"/>
              </w:rPr>
            </w:pPr>
            <w:r>
              <w:rPr>
                <w:sz w:val="24"/>
                <w:szCs w:val="24"/>
              </w:rPr>
              <w:t>All except 1</w:t>
            </w:r>
          </w:p>
        </w:tc>
      </w:tr>
      <w:tr w:rsidR="008E5E7A" w:rsidRPr="008A753B" w14:paraId="0DABE024" w14:textId="77777777" w:rsidTr="009C6A86">
        <w:tc>
          <w:tcPr>
            <w:tcW w:w="7360" w:type="dxa"/>
            <w:gridSpan w:val="2"/>
          </w:tcPr>
          <w:p w14:paraId="08B94C54" w14:textId="18E492CF" w:rsidR="008E5E7A" w:rsidRDefault="008E5E7A" w:rsidP="009C6A86">
            <w:pPr>
              <w:spacing w:before="60"/>
              <w:rPr>
                <w:sz w:val="24"/>
                <w:szCs w:val="24"/>
              </w:rPr>
            </w:pPr>
            <w:r>
              <w:rPr>
                <w:sz w:val="24"/>
                <w:szCs w:val="24"/>
              </w:rPr>
              <w:t xml:space="preserve">David Shepherd, </w:t>
            </w:r>
            <w:r w:rsidRPr="008E5E7A">
              <w:rPr>
                <w:color w:val="000000" w:themeColor="text1"/>
                <w:sz w:val="24"/>
                <w:szCs w:val="24"/>
              </w:rPr>
              <w:t>Deputy Vice-Chancellor (Academic)</w:t>
            </w:r>
          </w:p>
        </w:tc>
        <w:tc>
          <w:tcPr>
            <w:tcW w:w="2710" w:type="dxa"/>
          </w:tcPr>
          <w:p w14:paraId="47B1DE59" w14:textId="1BB20E8A" w:rsidR="008E5E7A" w:rsidRDefault="008E5E7A" w:rsidP="009C6A86">
            <w:pPr>
              <w:spacing w:before="60" w:after="60"/>
              <w:rPr>
                <w:sz w:val="24"/>
                <w:szCs w:val="24"/>
              </w:rPr>
            </w:pPr>
            <w:r>
              <w:rPr>
                <w:sz w:val="24"/>
                <w:szCs w:val="24"/>
              </w:rPr>
              <w:t>Item 7 and 8</w:t>
            </w:r>
          </w:p>
        </w:tc>
      </w:tr>
      <w:tr w:rsidR="00B72B9A" w:rsidRPr="008A753B" w14:paraId="7F88E957" w14:textId="77777777" w:rsidTr="009C6A86">
        <w:tc>
          <w:tcPr>
            <w:tcW w:w="7360" w:type="dxa"/>
            <w:gridSpan w:val="2"/>
          </w:tcPr>
          <w:p w14:paraId="6E9FE6CE" w14:textId="77777777" w:rsidR="00B72B9A" w:rsidRPr="002C1CD8" w:rsidRDefault="00B72B9A" w:rsidP="009C6A86">
            <w:pPr>
              <w:spacing w:before="60"/>
              <w:rPr>
                <w:sz w:val="24"/>
                <w:szCs w:val="24"/>
              </w:rPr>
            </w:pPr>
            <w:r w:rsidRPr="002C1CD8">
              <w:rPr>
                <w:sz w:val="24"/>
                <w:szCs w:val="24"/>
              </w:rPr>
              <w:t>Katie Stead, Head of Planning, Risk and Compliance</w:t>
            </w:r>
          </w:p>
        </w:tc>
        <w:tc>
          <w:tcPr>
            <w:tcW w:w="2710" w:type="dxa"/>
          </w:tcPr>
          <w:p w14:paraId="07666DA4" w14:textId="2F5484E7" w:rsidR="00B72B9A" w:rsidRDefault="0002724F" w:rsidP="009C6A86">
            <w:pPr>
              <w:spacing w:before="60" w:after="60"/>
              <w:rPr>
                <w:sz w:val="24"/>
                <w:szCs w:val="24"/>
              </w:rPr>
            </w:pPr>
            <w:r>
              <w:rPr>
                <w:sz w:val="24"/>
                <w:szCs w:val="24"/>
              </w:rPr>
              <w:t>All except 1</w:t>
            </w:r>
          </w:p>
        </w:tc>
      </w:tr>
      <w:tr w:rsidR="00B72B9A" w:rsidRPr="008A753B" w14:paraId="2F6B24C2" w14:textId="77777777" w:rsidTr="009C6A86">
        <w:tc>
          <w:tcPr>
            <w:tcW w:w="7360" w:type="dxa"/>
            <w:gridSpan w:val="2"/>
          </w:tcPr>
          <w:p w14:paraId="426CBAB9" w14:textId="77777777" w:rsidR="00B72B9A" w:rsidRPr="002C1CD8" w:rsidRDefault="00B72B9A" w:rsidP="009C6A86">
            <w:pPr>
              <w:spacing w:before="60"/>
              <w:rPr>
                <w:sz w:val="24"/>
                <w:szCs w:val="24"/>
              </w:rPr>
            </w:pPr>
            <w:r w:rsidRPr="002C1CD8">
              <w:rPr>
                <w:sz w:val="24"/>
                <w:szCs w:val="24"/>
              </w:rPr>
              <w:t>Angela Temple, Governance Senior Adviser (Committee Secretary)</w:t>
            </w:r>
          </w:p>
        </w:tc>
        <w:tc>
          <w:tcPr>
            <w:tcW w:w="2710" w:type="dxa"/>
          </w:tcPr>
          <w:p w14:paraId="60441875" w14:textId="7FC4A16D" w:rsidR="00B72B9A" w:rsidRDefault="0002724F" w:rsidP="009C6A86">
            <w:pPr>
              <w:spacing w:before="60" w:after="60"/>
              <w:rPr>
                <w:sz w:val="24"/>
                <w:szCs w:val="24"/>
              </w:rPr>
            </w:pPr>
            <w:r>
              <w:rPr>
                <w:sz w:val="24"/>
                <w:szCs w:val="24"/>
              </w:rPr>
              <w:t>All</w:t>
            </w:r>
          </w:p>
        </w:tc>
      </w:tr>
      <w:tr w:rsidR="00B72B9A" w:rsidRPr="008A753B" w14:paraId="10D10B82" w14:textId="77777777" w:rsidTr="009C6A86">
        <w:tc>
          <w:tcPr>
            <w:tcW w:w="7360" w:type="dxa"/>
            <w:gridSpan w:val="2"/>
          </w:tcPr>
          <w:p w14:paraId="3C6E01AA" w14:textId="77777777" w:rsidR="00B72B9A" w:rsidRPr="002C1CD8" w:rsidRDefault="00B72B9A" w:rsidP="009C6A86">
            <w:pPr>
              <w:spacing w:before="60"/>
              <w:rPr>
                <w:sz w:val="24"/>
                <w:szCs w:val="24"/>
              </w:rPr>
            </w:pPr>
            <w:r w:rsidRPr="002C1CD8">
              <w:rPr>
                <w:sz w:val="24"/>
                <w:szCs w:val="24"/>
              </w:rPr>
              <w:t>Deborah Watson, Grant Thornton</w:t>
            </w:r>
          </w:p>
        </w:tc>
        <w:tc>
          <w:tcPr>
            <w:tcW w:w="2710" w:type="dxa"/>
          </w:tcPr>
          <w:p w14:paraId="6342B2C5" w14:textId="1474AB15" w:rsidR="00B72B9A" w:rsidRDefault="000556C2" w:rsidP="009C6A86">
            <w:pPr>
              <w:spacing w:before="60" w:after="60"/>
              <w:rPr>
                <w:sz w:val="24"/>
                <w:szCs w:val="24"/>
              </w:rPr>
            </w:pPr>
            <w:r>
              <w:rPr>
                <w:sz w:val="24"/>
                <w:szCs w:val="24"/>
              </w:rPr>
              <w:t>Item 2</w:t>
            </w:r>
            <w:r w:rsidR="0044134F">
              <w:rPr>
                <w:sz w:val="24"/>
                <w:szCs w:val="24"/>
              </w:rPr>
              <w:t xml:space="preserve"> </w:t>
            </w:r>
            <w:r w:rsidR="00C75E13">
              <w:rPr>
                <w:sz w:val="24"/>
                <w:szCs w:val="24"/>
              </w:rPr>
              <w:t>to item 8i</w:t>
            </w:r>
          </w:p>
        </w:tc>
      </w:tr>
      <w:tr w:rsidR="00B72B9A" w:rsidRPr="008A753B" w14:paraId="76AC704E" w14:textId="77777777" w:rsidTr="009C6A86">
        <w:tc>
          <w:tcPr>
            <w:tcW w:w="7360" w:type="dxa"/>
            <w:gridSpan w:val="2"/>
          </w:tcPr>
          <w:p w14:paraId="3EB328D5" w14:textId="5806C882" w:rsidR="00B72B9A" w:rsidRPr="0002724F" w:rsidRDefault="00B72B9A" w:rsidP="009C6A86">
            <w:pPr>
              <w:spacing w:before="60" w:after="60"/>
              <w:rPr>
                <w:b/>
                <w:bCs/>
                <w:sz w:val="24"/>
                <w:szCs w:val="24"/>
              </w:rPr>
            </w:pPr>
            <w:r w:rsidRPr="0002724F">
              <w:rPr>
                <w:b/>
                <w:bCs/>
                <w:sz w:val="24"/>
                <w:szCs w:val="24"/>
              </w:rPr>
              <w:t xml:space="preserve">APOLOGIES: </w:t>
            </w:r>
            <w:r w:rsidR="0002724F" w:rsidRPr="0002724F">
              <w:rPr>
                <w:sz w:val="24"/>
                <w:szCs w:val="24"/>
              </w:rPr>
              <w:t>Mohammed Hannan</w:t>
            </w:r>
          </w:p>
        </w:tc>
        <w:tc>
          <w:tcPr>
            <w:tcW w:w="2710" w:type="dxa"/>
          </w:tcPr>
          <w:p w14:paraId="7A324C77" w14:textId="77777777" w:rsidR="00B72B9A" w:rsidRPr="008A753B" w:rsidRDefault="00B72B9A" w:rsidP="009C6A86">
            <w:pPr>
              <w:spacing w:before="60" w:after="60"/>
              <w:rPr>
                <w:sz w:val="24"/>
                <w:szCs w:val="24"/>
              </w:rPr>
            </w:pPr>
          </w:p>
        </w:tc>
      </w:tr>
    </w:tbl>
    <w:p w14:paraId="74C417FB" w14:textId="1449D932" w:rsidR="005C70C5" w:rsidRDefault="005C70C5"/>
    <w:tbl>
      <w:tblPr>
        <w:tblStyle w:val="TableGrid"/>
        <w:tblW w:w="10070" w:type="dxa"/>
        <w:tblInd w:w="-42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6379"/>
        <w:gridCol w:w="1847"/>
      </w:tblGrid>
      <w:tr w:rsidR="00A32100" w:rsidRPr="008A753B" w14:paraId="3C2C90E8" w14:textId="77777777" w:rsidTr="395DEB2E">
        <w:tc>
          <w:tcPr>
            <w:tcW w:w="1844" w:type="dxa"/>
            <w:tcBorders>
              <w:top w:val="single" w:sz="4" w:space="0" w:color="auto"/>
              <w:bottom w:val="single" w:sz="4" w:space="0" w:color="auto"/>
            </w:tcBorders>
            <w:shd w:val="clear" w:color="auto" w:fill="auto"/>
          </w:tcPr>
          <w:p w14:paraId="30C5CC5F" w14:textId="77777777" w:rsidR="00A32100" w:rsidRPr="002D430D" w:rsidRDefault="00A32100">
            <w:pPr>
              <w:pStyle w:val="Heading2"/>
            </w:pPr>
            <w:r w:rsidRPr="002D430D">
              <w:t>Minute Ref</w:t>
            </w:r>
          </w:p>
        </w:tc>
        <w:tc>
          <w:tcPr>
            <w:tcW w:w="6379" w:type="dxa"/>
            <w:tcBorders>
              <w:top w:val="single" w:sz="4" w:space="0" w:color="auto"/>
              <w:bottom w:val="single" w:sz="4" w:space="0" w:color="auto"/>
            </w:tcBorders>
            <w:shd w:val="clear" w:color="auto" w:fill="auto"/>
          </w:tcPr>
          <w:p w14:paraId="2F3E20F8" w14:textId="77777777" w:rsidR="00A32100" w:rsidRPr="002D430D" w:rsidRDefault="00A32100">
            <w:pPr>
              <w:pStyle w:val="Heading2"/>
            </w:pPr>
            <w:r w:rsidRPr="002D430D">
              <w:t>Item of Business</w:t>
            </w:r>
          </w:p>
        </w:tc>
        <w:tc>
          <w:tcPr>
            <w:tcW w:w="1847" w:type="dxa"/>
            <w:tcBorders>
              <w:top w:val="single" w:sz="4" w:space="0" w:color="auto"/>
              <w:bottom w:val="single" w:sz="4" w:space="0" w:color="auto"/>
            </w:tcBorders>
            <w:shd w:val="clear" w:color="auto" w:fill="auto"/>
          </w:tcPr>
          <w:p w14:paraId="7D83965E" w14:textId="77777777" w:rsidR="00A32100" w:rsidRPr="002D430D" w:rsidRDefault="00A32100">
            <w:pPr>
              <w:pStyle w:val="Heading2"/>
              <w:jc w:val="right"/>
            </w:pPr>
            <w:r w:rsidRPr="002D430D">
              <w:t xml:space="preserve">Paper Ref </w:t>
            </w:r>
          </w:p>
        </w:tc>
      </w:tr>
      <w:tr w:rsidR="00A32100" w:rsidRPr="008A753B" w14:paraId="7B825996" w14:textId="77777777" w:rsidTr="395DEB2E">
        <w:trPr>
          <w:cantSplit/>
        </w:trPr>
        <w:tc>
          <w:tcPr>
            <w:tcW w:w="1844" w:type="dxa"/>
            <w:tcBorders>
              <w:top w:val="single" w:sz="4" w:space="0" w:color="auto"/>
              <w:bottom w:val="single" w:sz="4" w:space="0" w:color="auto"/>
            </w:tcBorders>
            <w:shd w:val="clear" w:color="auto" w:fill="D9D9D9" w:themeFill="background1" w:themeFillShade="D9"/>
          </w:tcPr>
          <w:p w14:paraId="6125264E" w14:textId="3ECDF368" w:rsidR="00A32100" w:rsidRPr="009C163A" w:rsidRDefault="00A32100">
            <w:pPr>
              <w:pStyle w:val="Heading3"/>
              <w:spacing w:before="60" w:after="60"/>
              <w:ind w:left="-106" w:right="-108"/>
            </w:pPr>
            <w:bookmarkStart w:id="0" w:name="_Hlk121906207"/>
            <w:r w:rsidRPr="009C163A">
              <w:t>ARC/202</w:t>
            </w:r>
            <w:r w:rsidR="00FC437F">
              <w:t>3</w:t>
            </w:r>
            <w:r w:rsidRPr="009C163A">
              <w:t>-</w:t>
            </w:r>
            <w:r w:rsidR="007041D7">
              <w:t>03-09/1</w:t>
            </w:r>
          </w:p>
        </w:tc>
        <w:tc>
          <w:tcPr>
            <w:tcW w:w="6379" w:type="dxa"/>
            <w:tcBorders>
              <w:top w:val="single" w:sz="4" w:space="0" w:color="auto"/>
              <w:bottom w:val="single" w:sz="4" w:space="0" w:color="auto"/>
            </w:tcBorders>
            <w:shd w:val="clear" w:color="auto" w:fill="D9D9D9" w:themeFill="background1" w:themeFillShade="D9"/>
          </w:tcPr>
          <w:p w14:paraId="693B685B" w14:textId="3843E8BE" w:rsidR="00A32100" w:rsidRPr="008A753B" w:rsidRDefault="00A32100">
            <w:pPr>
              <w:pStyle w:val="Heading2"/>
            </w:pPr>
            <w:r>
              <w:rPr>
                <w:bCs/>
              </w:rPr>
              <w:t>PRIVATE MEETING OF COMMITTEE MEMBERS</w:t>
            </w:r>
          </w:p>
        </w:tc>
        <w:tc>
          <w:tcPr>
            <w:tcW w:w="1847" w:type="dxa"/>
            <w:tcBorders>
              <w:top w:val="single" w:sz="4" w:space="0" w:color="auto"/>
              <w:bottom w:val="single" w:sz="4" w:space="0" w:color="auto"/>
            </w:tcBorders>
            <w:shd w:val="clear" w:color="auto" w:fill="D9D9D9" w:themeFill="background1" w:themeFillShade="D9"/>
          </w:tcPr>
          <w:p w14:paraId="271F6C16" w14:textId="77777777" w:rsidR="00A32100" w:rsidRPr="008A753B" w:rsidRDefault="00A32100">
            <w:pPr>
              <w:spacing w:before="60" w:after="60"/>
              <w:rPr>
                <w:sz w:val="24"/>
                <w:szCs w:val="24"/>
              </w:rPr>
            </w:pPr>
          </w:p>
        </w:tc>
      </w:tr>
      <w:bookmarkEnd w:id="0"/>
      <w:tr w:rsidR="00A32100" w:rsidRPr="008A753B" w14:paraId="5CEE2571" w14:textId="77777777" w:rsidTr="395DEB2E">
        <w:tc>
          <w:tcPr>
            <w:tcW w:w="1844" w:type="dxa"/>
            <w:tcBorders>
              <w:top w:val="single" w:sz="4" w:space="0" w:color="auto"/>
              <w:bottom w:val="single" w:sz="4" w:space="0" w:color="auto"/>
            </w:tcBorders>
          </w:tcPr>
          <w:p w14:paraId="49949DAD" w14:textId="77777777" w:rsidR="00A32100" w:rsidRPr="008A753B" w:rsidRDefault="00A32100">
            <w:pPr>
              <w:spacing w:before="60" w:after="60"/>
              <w:ind w:left="-106" w:right="-108"/>
              <w:rPr>
                <w:sz w:val="24"/>
                <w:szCs w:val="24"/>
              </w:rPr>
            </w:pPr>
            <w:r w:rsidRPr="008A753B">
              <w:rPr>
                <w:sz w:val="24"/>
                <w:szCs w:val="24"/>
              </w:rPr>
              <w:t>1.1</w:t>
            </w:r>
          </w:p>
        </w:tc>
        <w:tc>
          <w:tcPr>
            <w:tcW w:w="8226" w:type="dxa"/>
            <w:gridSpan w:val="2"/>
            <w:tcBorders>
              <w:top w:val="single" w:sz="4" w:space="0" w:color="auto"/>
              <w:bottom w:val="single" w:sz="4" w:space="0" w:color="auto"/>
            </w:tcBorders>
          </w:tcPr>
          <w:p w14:paraId="6571E1BE" w14:textId="1DCE5C0B" w:rsidR="00ED6ACC" w:rsidRPr="008A753B" w:rsidRDefault="00777D1A" w:rsidP="0017127F">
            <w:pPr>
              <w:spacing w:before="60" w:after="60"/>
              <w:rPr>
                <w:sz w:val="24"/>
                <w:szCs w:val="24"/>
              </w:rPr>
            </w:pPr>
            <w:r>
              <w:rPr>
                <w:sz w:val="24"/>
                <w:szCs w:val="24"/>
              </w:rPr>
              <w:t>A number of matters were discussed that were subsequently covered in the main meeting.</w:t>
            </w:r>
          </w:p>
        </w:tc>
      </w:tr>
      <w:tr w:rsidR="0017127F" w:rsidRPr="008A753B" w14:paraId="1B261FA1" w14:textId="77777777" w:rsidTr="395DEB2E">
        <w:tc>
          <w:tcPr>
            <w:tcW w:w="1844" w:type="dxa"/>
            <w:tcBorders>
              <w:top w:val="single" w:sz="4" w:space="0" w:color="auto"/>
              <w:bottom w:val="single" w:sz="4" w:space="0" w:color="auto"/>
            </w:tcBorders>
          </w:tcPr>
          <w:p w14:paraId="74738402" w14:textId="480A2DA3" w:rsidR="0017127F" w:rsidRPr="008A753B" w:rsidRDefault="0017127F">
            <w:pPr>
              <w:spacing w:before="60" w:after="60"/>
              <w:ind w:left="-106" w:right="-108"/>
              <w:rPr>
                <w:sz w:val="24"/>
                <w:szCs w:val="24"/>
              </w:rPr>
            </w:pPr>
            <w:r>
              <w:rPr>
                <w:sz w:val="24"/>
                <w:szCs w:val="24"/>
              </w:rPr>
              <w:t>1.2</w:t>
            </w:r>
          </w:p>
        </w:tc>
        <w:tc>
          <w:tcPr>
            <w:tcW w:w="8226" w:type="dxa"/>
            <w:gridSpan w:val="2"/>
            <w:tcBorders>
              <w:top w:val="single" w:sz="4" w:space="0" w:color="auto"/>
              <w:bottom w:val="single" w:sz="4" w:space="0" w:color="auto"/>
            </w:tcBorders>
          </w:tcPr>
          <w:p w14:paraId="0E9C3EE9" w14:textId="1D343DFF" w:rsidR="0017127F" w:rsidRDefault="0017127F" w:rsidP="0017127F">
            <w:pPr>
              <w:spacing w:before="60" w:after="60"/>
              <w:rPr>
                <w:sz w:val="24"/>
                <w:szCs w:val="24"/>
              </w:rPr>
            </w:pPr>
            <w:r>
              <w:rPr>
                <w:sz w:val="24"/>
                <w:szCs w:val="24"/>
              </w:rPr>
              <w:t>I</w:t>
            </w:r>
            <w:bookmarkStart w:id="1" w:name="_Hlk130288047"/>
            <w:r>
              <w:rPr>
                <w:sz w:val="24"/>
                <w:szCs w:val="24"/>
              </w:rPr>
              <w:t xml:space="preserve">n relation to the People and </w:t>
            </w:r>
            <w:r w:rsidR="002161A7">
              <w:rPr>
                <w:sz w:val="24"/>
                <w:szCs w:val="24"/>
              </w:rPr>
              <w:t>S</w:t>
            </w:r>
            <w:r>
              <w:rPr>
                <w:sz w:val="24"/>
                <w:szCs w:val="24"/>
              </w:rPr>
              <w:t xml:space="preserve">taffing internal audit 2022/23, a member commented that whilst they recognised importance of diversity it was also important to address the request raised by the Committee in November 2022 to consider wider work </w:t>
            </w:r>
            <w:r w:rsidRPr="0017127F">
              <w:rPr>
                <w:sz w:val="24"/>
                <w:szCs w:val="24"/>
              </w:rPr>
              <w:t xml:space="preserve">being carried out by the University which </w:t>
            </w:r>
            <w:r w:rsidR="00CD5B34">
              <w:rPr>
                <w:sz w:val="24"/>
                <w:szCs w:val="24"/>
              </w:rPr>
              <w:t>wa</w:t>
            </w:r>
            <w:r w:rsidRPr="0017127F">
              <w:rPr>
                <w:sz w:val="24"/>
                <w:szCs w:val="24"/>
              </w:rPr>
              <w:t>s</w:t>
            </w:r>
            <w:r>
              <w:rPr>
                <w:sz w:val="24"/>
                <w:szCs w:val="24"/>
              </w:rPr>
              <w:t xml:space="preserve"> </w:t>
            </w:r>
            <w:r w:rsidRPr="0017127F">
              <w:rPr>
                <w:sz w:val="24"/>
                <w:szCs w:val="24"/>
              </w:rPr>
              <w:t>assessing whether the University ha</w:t>
            </w:r>
            <w:r w:rsidR="00CD5B34">
              <w:rPr>
                <w:sz w:val="24"/>
                <w:szCs w:val="24"/>
              </w:rPr>
              <w:t>d</w:t>
            </w:r>
            <w:r w:rsidRPr="0017127F">
              <w:rPr>
                <w:sz w:val="24"/>
                <w:szCs w:val="24"/>
              </w:rPr>
              <w:t xml:space="preserve"> the right staff and skills in</w:t>
            </w:r>
            <w:r>
              <w:rPr>
                <w:sz w:val="24"/>
                <w:szCs w:val="24"/>
              </w:rPr>
              <w:t xml:space="preserve"> </w:t>
            </w:r>
            <w:r w:rsidRPr="0017127F">
              <w:rPr>
                <w:sz w:val="24"/>
                <w:szCs w:val="24"/>
              </w:rPr>
              <w:t xml:space="preserve">the right areas to ensure its academic programmes </w:t>
            </w:r>
            <w:r w:rsidR="00CD5B34">
              <w:rPr>
                <w:sz w:val="24"/>
                <w:szCs w:val="24"/>
              </w:rPr>
              <w:t>we</w:t>
            </w:r>
            <w:r w:rsidRPr="0017127F">
              <w:rPr>
                <w:sz w:val="24"/>
                <w:szCs w:val="24"/>
              </w:rPr>
              <w:t>re delivered</w:t>
            </w:r>
            <w:r>
              <w:rPr>
                <w:sz w:val="24"/>
                <w:szCs w:val="24"/>
              </w:rPr>
              <w:t xml:space="preserve"> [</w:t>
            </w:r>
            <w:r w:rsidR="00CD5B34">
              <w:rPr>
                <w:sz w:val="24"/>
                <w:szCs w:val="24"/>
              </w:rPr>
              <w:t xml:space="preserve">ARC/2022-09-29/15.2 and </w:t>
            </w:r>
            <w:r>
              <w:rPr>
                <w:sz w:val="24"/>
                <w:szCs w:val="24"/>
              </w:rPr>
              <w:t xml:space="preserve">ARC/2022-11-14/15.1 refer]. The University Secretary suggested that this might be an </w:t>
            </w:r>
            <w:r w:rsidR="00475E66">
              <w:rPr>
                <w:sz w:val="24"/>
                <w:szCs w:val="24"/>
              </w:rPr>
              <w:t>appropriate area</w:t>
            </w:r>
            <w:r>
              <w:rPr>
                <w:sz w:val="24"/>
                <w:szCs w:val="24"/>
              </w:rPr>
              <w:t xml:space="preserve"> for a Risk deep dive</w:t>
            </w:r>
            <w:r w:rsidR="00CD5B34">
              <w:rPr>
                <w:sz w:val="24"/>
                <w:szCs w:val="24"/>
              </w:rPr>
              <w:t xml:space="preserve">, if not covered </w:t>
            </w:r>
            <w:r w:rsidR="00912975">
              <w:rPr>
                <w:sz w:val="24"/>
                <w:szCs w:val="24"/>
              </w:rPr>
              <w:t>by</w:t>
            </w:r>
            <w:r w:rsidR="00CD5B34">
              <w:rPr>
                <w:sz w:val="24"/>
                <w:szCs w:val="24"/>
              </w:rPr>
              <w:t xml:space="preserve"> the audit</w:t>
            </w:r>
            <w:r w:rsidR="00475E66">
              <w:rPr>
                <w:sz w:val="24"/>
                <w:szCs w:val="24"/>
              </w:rPr>
              <w:t>.</w:t>
            </w:r>
            <w:bookmarkEnd w:id="1"/>
          </w:p>
        </w:tc>
      </w:tr>
      <w:tr w:rsidR="00875C3E" w:rsidRPr="008A753B" w14:paraId="19E7F7FE" w14:textId="77777777" w:rsidTr="005A289F">
        <w:tc>
          <w:tcPr>
            <w:tcW w:w="1844" w:type="dxa"/>
            <w:tcBorders>
              <w:top w:val="single" w:sz="4" w:space="0" w:color="auto"/>
              <w:bottom w:val="single" w:sz="4" w:space="0" w:color="auto"/>
            </w:tcBorders>
            <w:shd w:val="clear" w:color="auto" w:fill="D9D9D9" w:themeFill="background1" w:themeFillShade="D9"/>
          </w:tcPr>
          <w:p w14:paraId="7E251681" w14:textId="43B9A506" w:rsidR="00875C3E" w:rsidRPr="00C40D07" w:rsidRDefault="00875C3E">
            <w:pPr>
              <w:spacing w:before="60" w:after="60"/>
              <w:ind w:left="-106" w:right="-108"/>
              <w:rPr>
                <w:sz w:val="18"/>
                <w:szCs w:val="18"/>
              </w:rPr>
            </w:pPr>
            <w:bookmarkStart w:id="2" w:name="_Hlk121905359"/>
            <w:r w:rsidRPr="00C40D07">
              <w:rPr>
                <w:sz w:val="18"/>
                <w:szCs w:val="18"/>
              </w:rPr>
              <w:t>ARC/2023-03-09/2</w:t>
            </w:r>
          </w:p>
        </w:tc>
        <w:tc>
          <w:tcPr>
            <w:tcW w:w="8226" w:type="dxa"/>
            <w:gridSpan w:val="2"/>
            <w:tcBorders>
              <w:top w:val="single" w:sz="4" w:space="0" w:color="auto"/>
              <w:bottom w:val="single" w:sz="4" w:space="0" w:color="auto"/>
            </w:tcBorders>
            <w:shd w:val="clear" w:color="auto" w:fill="D9D9D9" w:themeFill="background1" w:themeFillShade="D9"/>
          </w:tcPr>
          <w:p w14:paraId="6FDD5A8E" w14:textId="43FCB00B" w:rsidR="00875C3E" w:rsidRPr="00C40D07" w:rsidRDefault="00875C3E">
            <w:pPr>
              <w:spacing w:before="60" w:after="60"/>
              <w:rPr>
                <w:b/>
                <w:bCs/>
                <w:sz w:val="24"/>
                <w:szCs w:val="24"/>
              </w:rPr>
            </w:pPr>
            <w:r w:rsidRPr="00C40D07">
              <w:rPr>
                <w:b/>
                <w:bCs/>
              </w:rPr>
              <w:t>DECLARATIONS OF INTEREST</w:t>
            </w:r>
          </w:p>
        </w:tc>
      </w:tr>
      <w:tr w:rsidR="00875C3E" w:rsidRPr="008A753B" w14:paraId="714453C6" w14:textId="77777777" w:rsidTr="395DEB2E">
        <w:tc>
          <w:tcPr>
            <w:tcW w:w="1844" w:type="dxa"/>
            <w:tcBorders>
              <w:top w:val="single" w:sz="4" w:space="0" w:color="auto"/>
              <w:bottom w:val="single" w:sz="4" w:space="0" w:color="auto"/>
            </w:tcBorders>
          </w:tcPr>
          <w:p w14:paraId="10A804DF" w14:textId="5813DA38" w:rsidR="00875C3E" w:rsidRDefault="00875C3E">
            <w:pPr>
              <w:spacing w:before="60" w:after="60"/>
              <w:ind w:left="-106" w:right="-108"/>
              <w:rPr>
                <w:sz w:val="24"/>
                <w:szCs w:val="24"/>
              </w:rPr>
            </w:pPr>
            <w:bookmarkStart w:id="3" w:name="_Hlk121905783"/>
            <w:bookmarkEnd w:id="2"/>
            <w:r>
              <w:rPr>
                <w:sz w:val="24"/>
                <w:szCs w:val="24"/>
              </w:rPr>
              <w:t>2</w:t>
            </w:r>
            <w:r w:rsidRPr="008A753B">
              <w:rPr>
                <w:sz w:val="24"/>
                <w:szCs w:val="24"/>
              </w:rPr>
              <w:t>.1</w:t>
            </w:r>
          </w:p>
        </w:tc>
        <w:tc>
          <w:tcPr>
            <w:tcW w:w="8226" w:type="dxa"/>
            <w:gridSpan w:val="2"/>
            <w:tcBorders>
              <w:top w:val="single" w:sz="4" w:space="0" w:color="auto"/>
              <w:bottom w:val="single" w:sz="4" w:space="0" w:color="auto"/>
            </w:tcBorders>
          </w:tcPr>
          <w:p w14:paraId="18CFA6F2" w14:textId="0CA78611" w:rsidR="00875C3E" w:rsidRDefault="00875C3E">
            <w:pPr>
              <w:spacing w:before="60" w:after="60"/>
              <w:rPr>
                <w:sz w:val="24"/>
                <w:szCs w:val="24"/>
              </w:rPr>
            </w:pPr>
            <w:r>
              <w:rPr>
                <w:sz w:val="24"/>
                <w:szCs w:val="24"/>
              </w:rPr>
              <w:t>There were no declarations of interest.</w:t>
            </w:r>
          </w:p>
        </w:tc>
      </w:tr>
      <w:tr w:rsidR="00875C3E" w:rsidRPr="008A753B" w14:paraId="043DD5B0" w14:textId="77777777" w:rsidTr="005A289F">
        <w:tc>
          <w:tcPr>
            <w:tcW w:w="1844" w:type="dxa"/>
            <w:tcBorders>
              <w:top w:val="single" w:sz="4" w:space="0" w:color="auto"/>
              <w:bottom w:val="single" w:sz="4" w:space="0" w:color="auto"/>
            </w:tcBorders>
            <w:shd w:val="clear" w:color="auto" w:fill="D9D9D9" w:themeFill="background1" w:themeFillShade="D9"/>
          </w:tcPr>
          <w:p w14:paraId="23843533" w14:textId="49801CD9" w:rsidR="00875C3E" w:rsidRPr="00C40D07" w:rsidRDefault="00875C3E">
            <w:pPr>
              <w:spacing w:before="60" w:after="60"/>
              <w:ind w:left="-106" w:right="-108"/>
              <w:rPr>
                <w:sz w:val="18"/>
                <w:szCs w:val="18"/>
              </w:rPr>
            </w:pPr>
            <w:bookmarkStart w:id="4" w:name="_Hlk121905963"/>
            <w:bookmarkEnd w:id="3"/>
            <w:r w:rsidRPr="00C40D07">
              <w:rPr>
                <w:sz w:val="18"/>
                <w:szCs w:val="18"/>
              </w:rPr>
              <w:t>ARC/2023-03-09/3</w:t>
            </w:r>
          </w:p>
        </w:tc>
        <w:tc>
          <w:tcPr>
            <w:tcW w:w="8226" w:type="dxa"/>
            <w:gridSpan w:val="2"/>
            <w:tcBorders>
              <w:top w:val="single" w:sz="4" w:space="0" w:color="auto"/>
              <w:bottom w:val="single" w:sz="4" w:space="0" w:color="auto"/>
            </w:tcBorders>
            <w:shd w:val="clear" w:color="auto" w:fill="D9D9D9" w:themeFill="background1" w:themeFillShade="D9"/>
          </w:tcPr>
          <w:p w14:paraId="21F9B913" w14:textId="52DF9FBA" w:rsidR="00875C3E" w:rsidRPr="00C40D07" w:rsidRDefault="00875C3E">
            <w:pPr>
              <w:spacing w:before="60" w:after="60"/>
              <w:rPr>
                <w:b/>
                <w:bCs/>
                <w:sz w:val="24"/>
                <w:szCs w:val="24"/>
              </w:rPr>
            </w:pPr>
            <w:r w:rsidRPr="00C40D07">
              <w:rPr>
                <w:b/>
                <w:bCs/>
              </w:rPr>
              <w:t>CHAIR’S BUSINESS</w:t>
            </w:r>
          </w:p>
        </w:tc>
      </w:tr>
      <w:bookmarkEnd w:id="4"/>
      <w:tr w:rsidR="00875C3E" w:rsidRPr="008A753B" w14:paraId="75932F36" w14:textId="77777777" w:rsidTr="395DEB2E">
        <w:tc>
          <w:tcPr>
            <w:tcW w:w="1844" w:type="dxa"/>
            <w:tcBorders>
              <w:top w:val="single" w:sz="4" w:space="0" w:color="auto"/>
              <w:bottom w:val="single" w:sz="4" w:space="0" w:color="auto"/>
            </w:tcBorders>
          </w:tcPr>
          <w:p w14:paraId="0F5F4A70" w14:textId="4E57A532" w:rsidR="00875C3E" w:rsidRDefault="00875C3E">
            <w:pPr>
              <w:spacing w:before="60" w:after="60"/>
              <w:ind w:left="-106" w:right="-108"/>
              <w:rPr>
                <w:sz w:val="24"/>
                <w:szCs w:val="24"/>
              </w:rPr>
            </w:pPr>
            <w:r w:rsidRPr="0029359E">
              <w:rPr>
                <w:sz w:val="24"/>
              </w:rPr>
              <w:t>3.1</w:t>
            </w:r>
          </w:p>
        </w:tc>
        <w:tc>
          <w:tcPr>
            <w:tcW w:w="8226" w:type="dxa"/>
            <w:gridSpan w:val="2"/>
            <w:tcBorders>
              <w:top w:val="single" w:sz="4" w:space="0" w:color="auto"/>
              <w:bottom w:val="single" w:sz="4" w:space="0" w:color="auto"/>
            </w:tcBorders>
          </w:tcPr>
          <w:p w14:paraId="55B7570B" w14:textId="5AC6C0D5" w:rsidR="00875C3E" w:rsidRDefault="00656B1E">
            <w:pPr>
              <w:spacing w:before="60" w:after="60"/>
              <w:rPr>
                <w:sz w:val="24"/>
                <w:szCs w:val="24"/>
              </w:rPr>
            </w:pPr>
            <w:r>
              <w:rPr>
                <w:sz w:val="24"/>
                <w:szCs w:val="24"/>
              </w:rPr>
              <w:t xml:space="preserve">A new Committee member (Theresa Spencer) and attendee (Ryan Keyworth, CFO) were introduced. It was noted that </w:t>
            </w:r>
            <w:r w:rsidRPr="00AE04C4">
              <w:rPr>
                <w:color w:val="000000" w:themeColor="text1"/>
                <w:sz w:val="24"/>
                <w:szCs w:val="24"/>
              </w:rPr>
              <w:t>Mohammed Hannan</w:t>
            </w:r>
            <w:r>
              <w:rPr>
                <w:color w:val="000000" w:themeColor="text1"/>
                <w:sz w:val="24"/>
                <w:szCs w:val="24"/>
              </w:rPr>
              <w:t xml:space="preserve"> had also joined ARC as the second co-opted member</w:t>
            </w:r>
            <w:r w:rsidR="00F348BA">
              <w:rPr>
                <w:color w:val="000000" w:themeColor="text1"/>
                <w:sz w:val="24"/>
                <w:szCs w:val="24"/>
              </w:rPr>
              <w:t xml:space="preserve"> and would attend his first meeting in June 2023</w:t>
            </w:r>
            <w:r>
              <w:rPr>
                <w:color w:val="000000" w:themeColor="text1"/>
                <w:sz w:val="24"/>
                <w:szCs w:val="24"/>
              </w:rPr>
              <w:t>.</w:t>
            </w:r>
          </w:p>
        </w:tc>
      </w:tr>
      <w:tr w:rsidR="00875C3E" w:rsidRPr="008A753B" w14:paraId="2B0F3F68" w14:textId="77777777" w:rsidTr="395DEB2E">
        <w:trPr>
          <w:cantSplit/>
        </w:trPr>
        <w:tc>
          <w:tcPr>
            <w:tcW w:w="1844" w:type="dxa"/>
            <w:tcBorders>
              <w:top w:val="single" w:sz="4" w:space="0" w:color="auto"/>
              <w:bottom w:val="single" w:sz="4" w:space="0" w:color="auto"/>
            </w:tcBorders>
            <w:shd w:val="clear" w:color="auto" w:fill="D9D9D9" w:themeFill="background1" w:themeFillShade="D9"/>
          </w:tcPr>
          <w:p w14:paraId="14BFD865" w14:textId="4BAC1FCF" w:rsidR="00875C3E" w:rsidRPr="00A85DEC" w:rsidRDefault="00875C3E">
            <w:pPr>
              <w:pStyle w:val="Heading3"/>
              <w:spacing w:before="60" w:after="60"/>
              <w:ind w:left="-106" w:right="-108"/>
              <w:rPr>
                <w:sz w:val="20"/>
                <w:szCs w:val="20"/>
              </w:rPr>
            </w:pPr>
            <w:r w:rsidRPr="009C163A">
              <w:lastRenderedPageBreak/>
              <w:t>ARC/202</w:t>
            </w:r>
            <w:r>
              <w:t>3</w:t>
            </w:r>
            <w:r w:rsidRPr="009C163A">
              <w:t>-</w:t>
            </w:r>
            <w:r>
              <w:t>03-09</w:t>
            </w:r>
            <w:r w:rsidRPr="009C163A">
              <w:t>/</w:t>
            </w:r>
            <w:r>
              <w:t>4</w:t>
            </w:r>
          </w:p>
        </w:tc>
        <w:tc>
          <w:tcPr>
            <w:tcW w:w="6379" w:type="dxa"/>
            <w:tcBorders>
              <w:top w:val="single" w:sz="4" w:space="0" w:color="auto"/>
              <w:bottom w:val="single" w:sz="4" w:space="0" w:color="auto"/>
            </w:tcBorders>
            <w:shd w:val="clear" w:color="auto" w:fill="D9D9D9" w:themeFill="background1" w:themeFillShade="D9"/>
          </w:tcPr>
          <w:p w14:paraId="1EDD5271" w14:textId="612A51BF" w:rsidR="00875C3E" w:rsidRPr="008A753B" w:rsidRDefault="00875C3E" w:rsidP="00656B1E">
            <w:pPr>
              <w:pStyle w:val="Heading2"/>
            </w:pPr>
            <w:r>
              <w:t xml:space="preserve">MINUTES OF THE </w:t>
            </w:r>
            <w:r w:rsidR="00F04EC8">
              <w:t xml:space="preserve">PREVIOUS </w:t>
            </w:r>
            <w:r>
              <w:t>MEETING</w:t>
            </w:r>
            <w:r w:rsidR="00F04EC8">
              <w:t>S</w:t>
            </w:r>
          </w:p>
        </w:tc>
        <w:tc>
          <w:tcPr>
            <w:tcW w:w="1847" w:type="dxa"/>
            <w:tcBorders>
              <w:top w:val="single" w:sz="4" w:space="0" w:color="auto"/>
              <w:bottom w:val="single" w:sz="4" w:space="0" w:color="auto"/>
            </w:tcBorders>
            <w:shd w:val="clear" w:color="auto" w:fill="D9D9D9" w:themeFill="background1" w:themeFillShade="D9"/>
          </w:tcPr>
          <w:p w14:paraId="2BB071EC" w14:textId="0F88565D" w:rsidR="00875C3E" w:rsidRPr="008A753B" w:rsidRDefault="008C727B">
            <w:pPr>
              <w:spacing w:before="60" w:after="60"/>
              <w:rPr>
                <w:sz w:val="24"/>
                <w:szCs w:val="24"/>
              </w:rPr>
            </w:pPr>
            <w:r w:rsidRPr="00E93131">
              <w:rPr>
                <w:sz w:val="18"/>
                <w:szCs w:val="18"/>
              </w:rPr>
              <w:t>ARC/2023-03-09</w:t>
            </w:r>
            <w:r>
              <w:rPr>
                <w:sz w:val="18"/>
                <w:szCs w:val="18"/>
              </w:rPr>
              <w:t>/</w:t>
            </w:r>
            <w:r w:rsidR="000E4243">
              <w:rPr>
                <w:sz w:val="18"/>
                <w:szCs w:val="18"/>
              </w:rPr>
              <w:t>P</w:t>
            </w:r>
            <w:r>
              <w:rPr>
                <w:sz w:val="18"/>
                <w:szCs w:val="18"/>
              </w:rPr>
              <w:t>4i and 4ii</w:t>
            </w:r>
          </w:p>
        </w:tc>
      </w:tr>
      <w:tr w:rsidR="00875C3E" w:rsidRPr="008A753B" w14:paraId="20A3CC7C" w14:textId="77777777" w:rsidTr="395DEB2E">
        <w:tc>
          <w:tcPr>
            <w:tcW w:w="1844" w:type="dxa"/>
            <w:tcBorders>
              <w:top w:val="single" w:sz="4" w:space="0" w:color="auto"/>
              <w:bottom w:val="single" w:sz="4" w:space="0" w:color="auto"/>
            </w:tcBorders>
          </w:tcPr>
          <w:p w14:paraId="03003600" w14:textId="7E429C3F" w:rsidR="00875C3E" w:rsidRPr="008A753B" w:rsidRDefault="00875C3E">
            <w:pPr>
              <w:spacing w:before="60" w:after="60"/>
              <w:ind w:left="-106" w:right="-108"/>
              <w:rPr>
                <w:sz w:val="24"/>
                <w:szCs w:val="24"/>
              </w:rPr>
            </w:pPr>
            <w:r>
              <w:rPr>
                <w:sz w:val="24"/>
                <w:szCs w:val="24"/>
              </w:rPr>
              <w:t>4.1</w:t>
            </w:r>
          </w:p>
        </w:tc>
        <w:tc>
          <w:tcPr>
            <w:tcW w:w="8226" w:type="dxa"/>
            <w:gridSpan w:val="2"/>
            <w:tcBorders>
              <w:top w:val="single" w:sz="4" w:space="0" w:color="auto"/>
              <w:bottom w:val="single" w:sz="4" w:space="0" w:color="auto"/>
            </w:tcBorders>
          </w:tcPr>
          <w:p w14:paraId="3A2460D6" w14:textId="5738476B" w:rsidR="00875C3E" w:rsidRPr="008A753B" w:rsidRDefault="00F04EC8">
            <w:pPr>
              <w:spacing w:before="60" w:after="60"/>
              <w:rPr>
                <w:sz w:val="24"/>
                <w:szCs w:val="24"/>
              </w:rPr>
            </w:pPr>
            <w:r w:rsidRPr="00A26A10">
              <w:rPr>
                <w:sz w:val="24"/>
                <w:szCs w:val="24"/>
              </w:rPr>
              <w:t xml:space="preserve">The Committee </w:t>
            </w:r>
            <w:r w:rsidRPr="002E560D">
              <w:rPr>
                <w:b/>
                <w:bCs/>
                <w:sz w:val="24"/>
                <w:szCs w:val="24"/>
              </w:rPr>
              <w:t>approved</w:t>
            </w:r>
            <w:r w:rsidRPr="00A26A10">
              <w:rPr>
                <w:sz w:val="24"/>
                <w:szCs w:val="24"/>
              </w:rPr>
              <w:t xml:space="preserve"> the minutes (including the confidential minutes) of the meeting</w:t>
            </w:r>
            <w:r>
              <w:rPr>
                <w:sz w:val="24"/>
                <w:szCs w:val="24"/>
              </w:rPr>
              <w:t>s</w:t>
            </w:r>
            <w:r w:rsidRPr="00A26A10">
              <w:rPr>
                <w:sz w:val="24"/>
                <w:szCs w:val="24"/>
              </w:rPr>
              <w:t xml:space="preserve"> held on </w:t>
            </w:r>
            <w:r>
              <w:rPr>
                <w:sz w:val="24"/>
                <w:szCs w:val="24"/>
              </w:rPr>
              <w:t>14 November</w:t>
            </w:r>
            <w:r w:rsidRPr="00A26A10">
              <w:rPr>
                <w:sz w:val="24"/>
                <w:szCs w:val="24"/>
              </w:rPr>
              <w:t xml:space="preserve"> 202</w:t>
            </w:r>
            <w:r>
              <w:rPr>
                <w:sz w:val="24"/>
                <w:szCs w:val="24"/>
              </w:rPr>
              <w:t>2</w:t>
            </w:r>
            <w:r w:rsidRPr="00A26A10">
              <w:rPr>
                <w:sz w:val="24"/>
                <w:szCs w:val="24"/>
              </w:rPr>
              <w:t xml:space="preserve"> as an accurate record.</w:t>
            </w:r>
          </w:p>
        </w:tc>
      </w:tr>
      <w:tr w:rsidR="00C90F0C" w:rsidRPr="008A753B" w14:paraId="31E3C759" w14:textId="77777777" w:rsidTr="007A4628">
        <w:tc>
          <w:tcPr>
            <w:tcW w:w="1844" w:type="dxa"/>
            <w:tcBorders>
              <w:top w:val="single" w:sz="4" w:space="0" w:color="auto"/>
              <w:bottom w:val="single" w:sz="4" w:space="0" w:color="auto"/>
            </w:tcBorders>
            <w:shd w:val="clear" w:color="auto" w:fill="D9D9D9" w:themeFill="background1" w:themeFillShade="D9"/>
          </w:tcPr>
          <w:p w14:paraId="250C33CC" w14:textId="77777777" w:rsidR="00C90F0C" w:rsidRPr="003A56C1" w:rsidRDefault="00C90F0C" w:rsidP="007A4628">
            <w:pPr>
              <w:pStyle w:val="Heading3"/>
              <w:spacing w:before="60" w:after="60"/>
              <w:ind w:left="-106" w:right="-108"/>
              <w:rPr>
                <w:sz w:val="20"/>
                <w:szCs w:val="20"/>
              </w:rPr>
            </w:pPr>
            <w:r w:rsidRPr="009C163A">
              <w:t>ARC/202</w:t>
            </w:r>
            <w:r>
              <w:t>3</w:t>
            </w:r>
            <w:r w:rsidRPr="009C163A">
              <w:t>-</w:t>
            </w:r>
            <w:r>
              <w:t>03-09</w:t>
            </w:r>
            <w:r w:rsidRPr="009C163A">
              <w:t>/</w:t>
            </w:r>
            <w:r>
              <w:t>5</w:t>
            </w:r>
          </w:p>
        </w:tc>
        <w:tc>
          <w:tcPr>
            <w:tcW w:w="6379" w:type="dxa"/>
            <w:tcBorders>
              <w:top w:val="single" w:sz="4" w:space="0" w:color="auto"/>
              <w:bottom w:val="single" w:sz="4" w:space="0" w:color="auto"/>
            </w:tcBorders>
            <w:shd w:val="clear" w:color="auto" w:fill="D9D9D9" w:themeFill="background1" w:themeFillShade="D9"/>
          </w:tcPr>
          <w:p w14:paraId="602BE0AA" w14:textId="77777777" w:rsidR="00C90F0C" w:rsidRPr="008A753B" w:rsidRDefault="00C90F0C" w:rsidP="007A4628">
            <w:pPr>
              <w:pStyle w:val="Heading2"/>
            </w:pPr>
            <w:r w:rsidRPr="00DF0008">
              <w:rPr>
                <w:bCs/>
              </w:rPr>
              <w:t>MATTERS ARISING</w:t>
            </w:r>
          </w:p>
        </w:tc>
        <w:tc>
          <w:tcPr>
            <w:tcW w:w="1847" w:type="dxa"/>
            <w:tcBorders>
              <w:top w:val="single" w:sz="4" w:space="0" w:color="auto"/>
              <w:bottom w:val="single" w:sz="4" w:space="0" w:color="auto"/>
            </w:tcBorders>
            <w:shd w:val="clear" w:color="auto" w:fill="D9D9D9" w:themeFill="background1" w:themeFillShade="D9"/>
          </w:tcPr>
          <w:p w14:paraId="0E56C582" w14:textId="7C65DA24" w:rsidR="00C90F0C" w:rsidRPr="008E1CA3" w:rsidRDefault="00C90F0C" w:rsidP="007A4628">
            <w:pPr>
              <w:spacing w:before="60" w:after="60"/>
              <w:jc w:val="right"/>
              <w:rPr>
                <w:sz w:val="18"/>
                <w:szCs w:val="18"/>
              </w:rPr>
            </w:pPr>
            <w:r w:rsidRPr="00E5440E">
              <w:rPr>
                <w:sz w:val="20"/>
                <w:szCs w:val="20"/>
              </w:rPr>
              <w:t>ARC/2023-03-09/</w:t>
            </w:r>
            <w:r w:rsidR="000E4243">
              <w:rPr>
                <w:sz w:val="20"/>
                <w:szCs w:val="20"/>
              </w:rPr>
              <w:t>P</w:t>
            </w:r>
            <w:r>
              <w:rPr>
                <w:sz w:val="20"/>
                <w:szCs w:val="20"/>
              </w:rPr>
              <w:t>5</w:t>
            </w:r>
          </w:p>
        </w:tc>
      </w:tr>
      <w:tr w:rsidR="00C90F0C" w:rsidRPr="008A753B" w14:paraId="299E7073" w14:textId="77777777" w:rsidTr="007A4628">
        <w:tc>
          <w:tcPr>
            <w:tcW w:w="1844" w:type="dxa"/>
            <w:tcBorders>
              <w:top w:val="single" w:sz="4" w:space="0" w:color="auto"/>
              <w:bottom w:val="single" w:sz="4" w:space="0" w:color="auto"/>
            </w:tcBorders>
          </w:tcPr>
          <w:p w14:paraId="51FB0C4A" w14:textId="77777777" w:rsidR="00C90F0C" w:rsidRPr="0029359E" w:rsidRDefault="00C90F0C" w:rsidP="007A4628">
            <w:pPr>
              <w:pStyle w:val="Heading3"/>
              <w:spacing w:before="60" w:after="60"/>
              <w:ind w:left="-106" w:right="-108"/>
              <w:rPr>
                <w:sz w:val="24"/>
              </w:rPr>
            </w:pPr>
            <w:r>
              <w:rPr>
                <w:sz w:val="24"/>
              </w:rPr>
              <w:t>5</w:t>
            </w:r>
            <w:r w:rsidRPr="008A753B">
              <w:rPr>
                <w:sz w:val="24"/>
              </w:rPr>
              <w:t>.1</w:t>
            </w:r>
          </w:p>
        </w:tc>
        <w:tc>
          <w:tcPr>
            <w:tcW w:w="8226" w:type="dxa"/>
            <w:gridSpan w:val="2"/>
            <w:tcBorders>
              <w:top w:val="single" w:sz="4" w:space="0" w:color="auto"/>
              <w:bottom w:val="single" w:sz="4" w:space="0" w:color="auto"/>
            </w:tcBorders>
          </w:tcPr>
          <w:p w14:paraId="2713472E" w14:textId="49D29BF4" w:rsidR="00C90F0C" w:rsidRPr="002A78CD" w:rsidRDefault="00C90F0C" w:rsidP="007A4628">
            <w:pPr>
              <w:spacing w:before="60" w:after="60"/>
              <w:rPr>
                <w:sz w:val="24"/>
                <w:szCs w:val="24"/>
              </w:rPr>
            </w:pPr>
            <w:r w:rsidRPr="00656B1E">
              <w:rPr>
                <w:b/>
                <w:bCs/>
                <w:sz w:val="24"/>
                <w:szCs w:val="24"/>
              </w:rPr>
              <w:t>ARC/2022-11-14/1.2: Notice period for resignations:</w:t>
            </w:r>
            <w:r>
              <w:rPr>
                <w:sz w:val="24"/>
                <w:szCs w:val="24"/>
              </w:rPr>
              <w:t xml:space="preserve"> It was noted that the Governance and Nominations Committee (GNC) had updated </w:t>
            </w:r>
            <w:r w:rsidR="00C66992">
              <w:rPr>
                <w:sz w:val="24"/>
                <w:szCs w:val="24"/>
              </w:rPr>
              <w:t>guidance</w:t>
            </w:r>
            <w:r>
              <w:rPr>
                <w:sz w:val="24"/>
                <w:szCs w:val="24"/>
              </w:rPr>
              <w:t xml:space="preserve"> in relation to the University’s expectations concerning the normal notice period to cease membership of the Board and its Committees.</w:t>
            </w:r>
          </w:p>
        </w:tc>
      </w:tr>
      <w:tr w:rsidR="00C90F0C" w:rsidRPr="008A753B" w14:paraId="6586DD96" w14:textId="77777777" w:rsidTr="00C90F0C">
        <w:tc>
          <w:tcPr>
            <w:tcW w:w="1844" w:type="dxa"/>
            <w:tcBorders>
              <w:top w:val="single" w:sz="4" w:space="0" w:color="auto"/>
              <w:bottom w:val="nil"/>
            </w:tcBorders>
          </w:tcPr>
          <w:p w14:paraId="159B94DF" w14:textId="77777777" w:rsidR="00C90F0C" w:rsidRDefault="00C90F0C" w:rsidP="007A4628">
            <w:pPr>
              <w:pStyle w:val="Heading3"/>
              <w:spacing w:before="60" w:after="60"/>
              <w:ind w:left="-106" w:right="-108"/>
              <w:rPr>
                <w:sz w:val="24"/>
              </w:rPr>
            </w:pPr>
            <w:r>
              <w:rPr>
                <w:sz w:val="24"/>
              </w:rPr>
              <w:t>5.2</w:t>
            </w:r>
          </w:p>
        </w:tc>
        <w:tc>
          <w:tcPr>
            <w:tcW w:w="8226" w:type="dxa"/>
            <w:gridSpan w:val="2"/>
            <w:tcBorders>
              <w:top w:val="single" w:sz="4" w:space="0" w:color="auto"/>
              <w:bottom w:val="nil"/>
            </w:tcBorders>
          </w:tcPr>
          <w:p w14:paraId="1B60A42C" w14:textId="4C7455F1" w:rsidR="00C90F0C" w:rsidRPr="000021F2" w:rsidRDefault="00C90F0C" w:rsidP="000236E1">
            <w:pPr>
              <w:rPr>
                <w:sz w:val="24"/>
                <w:szCs w:val="24"/>
              </w:rPr>
            </w:pPr>
            <w:r w:rsidRPr="00656B1E">
              <w:rPr>
                <w:b/>
                <w:bCs/>
                <w:sz w:val="24"/>
                <w:szCs w:val="24"/>
              </w:rPr>
              <w:t>ARC/2022-11-14/</w:t>
            </w:r>
            <w:r>
              <w:rPr>
                <w:b/>
                <w:bCs/>
                <w:sz w:val="24"/>
                <w:szCs w:val="24"/>
              </w:rPr>
              <w:t xml:space="preserve">7.1: TPS: </w:t>
            </w:r>
            <w:r w:rsidRPr="00B72E60">
              <w:rPr>
                <w:color w:val="000000" w:themeColor="text1"/>
                <w:sz w:val="24"/>
                <w:szCs w:val="24"/>
              </w:rPr>
              <w:t>The Committee received an update</w:t>
            </w:r>
            <w:r w:rsidR="000236E1">
              <w:rPr>
                <w:color w:val="000000" w:themeColor="text1"/>
                <w:sz w:val="24"/>
                <w:szCs w:val="24"/>
              </w:rPr>
              <w:t>. A minute confidential to the Committee was recorded.</w:t>
            </w:r>
            <w:r w:rsidRPr="00B72E60">
              <w:rPr>
                <w:color w:val="000000" w:themeColor="text1"/>
                <w:sz w:val="24"/>
                <w:szCs w:val="24"/>
              </w:rPr>
              <w:t xml:space="preserve"> </w:t>
            </w:r>
          </w:p>
        </w:tc>
      </w:tr>
      <w:tr w:rsidR="00875C3E" w:rsidRPr="008A753B" w14:paraId="42C1C776" w14:textId="77777777" w:rsidTr="395DEB2E">
        <w:tc>
          <w:tcPr>
            <w:tcW w:w="1844" w:type="dxa"/>
            <w:tcBorders>
              <w:top w:val="single" w:sz="4" w:space="0" w:color="auto"/>
              <w:bottom w:val="single" w:sz="4" w:space="0" w:color="auto"/>
            </w:tcBorders>
            <w:shd w:val="clear" w:color="auto" w:fill="D9D9D9" w:themeFill="background1" w:themeFillShade="D9"/>
          </w:tcPr>
          <w:p w14:paraId="44B4243C" w14:textId="3C41B4E1" w:rsidR="00875C3E" w:rsidRPr="003A56C1" w:rsidRDefault="00875C3E">
            <w:pPr>
              <w:pStyle w:val="Heading3"/>
              <w:spacing w:before="60" w:after="60"/>
              <w:ind w:left="-106" w:right="-108"/>
              <w:rPr>
                <w:sz w:val="20"/>
                <w:szCs w:val="20"/>
              </w:rPr>
            </w:pPr>
            <w:bookmarkStart w:id="5" w:name="_Hlk121906812"/>
            <w:r w:rsidRPr="009C163A">
              <w:t>ARC/202</w:t>
            </w:r>
            <w:r>
              <w:t>3</w:t>
            </w:r>
            <w:r w:rsidRPr="009C163A">
              <w:t>-</w:t>
            </w:r>
            <w:r>
              <w:t>03-09</w:t>
            </w:r>
            <w:r w:rsidRPr="009C163A">
              <w:t>/</w:t>
            </w:r>
            <w:r>
              <w:t>6</w:t>
            </w:r>
          </w:p>
        </w:tc>
        <w:tc>
          <w:tcPr>
            <w:tcW w:w="6379" w:type="dxa"/>
            <w:tcBorders>
              <w:top w:val="single" w:sz="4" w:space="0" w:color="auto"/>
              <w:bottom w:val="single" w:sz="4" w:space="0" w:color="auto"/>
            </w:tcBorders>
            <w:shd w:val="clear" w:color="auto" w:fill="D9D9D9" w:themeFill="background1" w:themeFillShade="D9"/>
          </w:tcPr>
          <w:p w14:paraId="7FEBD901" w14:textId="77777777" w:rsidR="00875C3E" w:rsidRDefault="00875C3E" w:rsidP="009A18E9">
            <w:pPr>
              <w:pStyle w:val="Heading2"/>
            </w:pPr>
            <w:r w:rsidRPr="007C773E">
              <w:t>RISK MANAGEMENT</w:t>
            </w:r>
          </w:p>
          <w:p w14:paraId="4DDEE45E" w14:textId="7C772AB5" w:rsidR="00875C3E" w:rsidRPr="008A753B" w:rsidRDefault="00875C3E" w:rsidP="008D3A75">
            <w:pPr>
              <w:pStyle w:val="Heading2"/>
              <w:numPr>
                <w:ilvl w:val="0"/>
                <w:numId w:val="29"/>
              </w:numPr>
            </w:pPr>
            <w:r w:rsidRPr="001B1CF1">
              <w:rPr>
                <w:bCs/>
                <w:szCs w:val="24"/>
              </w:rPr>
              <w:t>CORPORATE RISK UPDATE</w:t>
            </w:r>
          </w:p>
        </w:tc>
        <w:tc>
          <w:tcPr>
            <w:tcW w:w="1847" w:type="dxa"/>
            <w:tcBorders>
              <w:top w:val="single" w:sz="4" w:space="0" w:color="auto"/>
              <w:bottom w:val="single" w:sz="4" w:space="0" w:color="auto"/>
            </w:tcBorders>
            <w:shd w:val="clear" w:color="auto" w:fill="D9D9D9" w:themeFill="background1" w:themeFillShade="D9"/>
          </w:tcPr>
          <w:p w14:paraId="25D23C47" w14:textId="6A6E854C" w:rsidR="009E2F48" w:rsidRDefault="009E2F48" w:rsidP="009E2F48">
            <w:pPr>
              <w:pStyle w:val="Heading3"/>
              <w:spacing w:before="60" w:after="60"/>
              <w:ind w:left="-113" w:right="-109"/>
              <w:jc w:val="right"/>
            </w:pPr>
            <w:r w:rsidRPr="009C163A">
              <w:t>ARC/202</w:t>
            </w:r>
            <w:r>
              <w:t>3</w:t>
            </w:r>
            <w:r w:rsidRPr="009C163A">
              <w:t>-</w:t>
            </w:r>
            <w:r>
              <w:t>03-09</w:t>
            </w:r>
            <w:r w:rsidRPr="009C163A">
              <w:t>/</w:t>
            </w:r>
            <w:r w:rsidR="000E4243">
              <w:t>P</w:t>
            </w:r>
            <w:r>
              <w:t>6i</w:t>
            </w:r>
          </w:p>
          <w:p w14:paraId="7AEBCA6E" w14:textId="0D5F425E" w:rsidR="00875C3E" w:rsidRPr="008E1CA3" w:rsidRDefault="009E2F48" w:rsidP="009E2F48">
            <w:pPr>
              <w:spacing w:before="60" w:after="60"/>
              <w:jc w:val="right"/>
              <w:rPr>
                <w:sz w:val="18"/>
                <w:szCs w:val="18"/>
              </w:rPr>
            </w:pPr>
            <w:r w:rsidRPr="007113BB">
              <w:rPr>
                <w:sz w:val="18"/>
                <w:szCs w:val="18"/>
              </w:rPr>
              <w:t>CONFIDENTIAL</w:t>
            </w:r>
          </w:p>
        </w:tc>
      </w:tr>
      <w:tr w:rsidR="00875C3E" w:rsidRPr="008A753B" w14:paraId="357F3764" w14:textId="77777777" w:rsidTr="395DEB2E">
        <w:tc>
          <w:tcPr>
            <w:tcW w:w="1844" w:type="dxa"/>
            <w:tcBorders>
              <w:top w:val="single" w:sz="4" w:space="0" w:color="auto"/>
              <w:bottom w:val="single" w:sz="4" w:space="0" w:color="auto"/>
            </w:tcBorders>
          </w:tcPr>
          <w:p w14:paraId="11A835A9" w14:textId="60126049" w:rsidR="00875C3E" w:rsidRDefault="00875C3E">
            <w:pPr>
              <w:spacing w:before="60" w:after="60"/>
              <w:ind w:left="-106" w:right="-108"/>
              <w:rPr>
                <w:sz w:val="24"/>
                <w:szCs w:val="24"/>
              </w:rPr>
            </w:pPr>
            <w:r>
              <w:rPr>
                <w:sz w:val="24"/>
                <w:szCs w:val="24"/>
              </w:rPr>
              <w:t>6</w:t>
            </w:r>
            <w:r w:rsidRPr="008A753B">
              <w:rPr>
                <w:sz w:val="24"/>
                <w:szCs w:val="24"/>
              </w:rPr>
              <w:t xml:space="preserve">.1 </w:t>
            </w:r>
          </w:p>
        </w:tc>
        <w:tc>
          <w:tcPr>
            <w:tcW w:w="8226" w:type="dxa"/>
            <w:gridSpan w:val="2"/>
            <w:tcBorders>
              <w:top w:val="single" w:sz="4" w:space="0" w:color="auto"/>
              <w:bottom w:val="single" w:sz="4" w:space="0" w:color="auto"/>
            </w:tcBorders>
          </w:tcPr>
          <w:p w14:paraId="7D1F514F" w14:textId="7286F5B6" w:rsidR="00875C3E" w:rsidRPr="008A753B" w:rsidRDefault="003533E6">
            <w:pPr>
              <w:spacing w:before="60" w:after="60"/>
              <w:rPr>
                <w:sz w:val="24"/>
                <w:szCs w:val="24"/>
              </w:rPr>
            </w:pPr>
            <w:r w:rsidRPr="00641ABF">
              <w:rPr>
                <w:sz w:val="24"/>
              </w:rPr>
              <w:t xml:space="preserve">The Committee considered the report and noted </w:t>
            </w:r>
            <w:r>
              <w:rPr>
                <w:sz w:val="24"/>
              </w:rPr>
              <w:t xml:space="preserve">that the corporate risk register and heatmap had been reviewed and updated </w:t>
            </w:r>
            <w:r w:rsidRPr="00641ABF">
              <w:rPr>
                <w:sz w:val="24"/>
              </w:rPr>
              <w:t>(Appendix 1)</w:t>
            </w:r>
            <w:r w:rsidR="00D76294" w:rsidRPr="00641ABF">
              <w:rPr>
                <w:sz w:val="24"/>
              </w:rPr>
              <w:t>.</w:t>
            </w:r>
            <w:r w:rsidR="00D76294">
              <w:rPr>
                <w:sz w:val="24"/>
              </w:rPr>
              <w:t xml:space="preserve"> </w:t>
            </w:r>
          </w:p>
        </w:tc>
      </w:tr>
      <w:tr w:rsidR="003533E6" w:rsidRPr="008A753B" w14:paraId="73AC1287" w14:textId="77777777" w:rsidTr="395DEB2E">
        <w:tc>
          <w:tcPr>
            <w:tcW w:w="1844" w:type="dxa"/>
            <w:tcBorders>
              <w:top w:val="single" w:sz="4" w:space="0" w:color="auto"/>
              <w:bottom w:val="single" w:sz="4" w:space="0" w:color="auto"/>
            </w:tcBorders>
          </w:tcPr>
          <w:p w14:paraId="0924682C" w14:textId="106DAD76" w:rsidR="003533E6" w:rsidRDefault="000B2703">
            <w:pPr>
              <w:spacing w:before="60" w:after="60"/>
              <w:ind w:left="-106" w:right="-108"/>
              <w:rPr>
                <w:sz w:val="24"/>
                <w:szCs w:val="24"/>
              </w:rPr>
            </w:pPr>
            <w:r>
              <w:rPr>
                <w:sz w:val="24"/>
                <w:szCs w:val="24"/>
              </w:rPr>
              <w:t>6.2</w:t>
            </w:r>
          </w:p>
        </w:tc>
        <w:tc>
          <w:tcPr>
            <w:tcW w:w="8226" w:type="dxa"/>
            <w:gridSpan w:val="2"/>
            <w:tcBorders>
              <w:top w:val="single" w:sz="4" w:space="0" w:color="auto"/>
              <w:bottom w:val="single" w:sz="4" w:space="0" w:color="auto"/>
            </w:tcBorders>
          </w:tcPr>
          <w:p w14:paraId="58CDFE36" w14:textId="77777777" w:rsidR="00C6238A" w:rsidRPr="00B72E60" w:rsidRDefault="00C6238A" w:rsidP="00C6238A">
            <w:pPr>
              <w:tabs>
                <w:tab w:val="left" w:pos="34"/>
                <w:tab w:val="right" w:pos="8348"/>
                <w:tab w:val="right" w:pos="9360"/>
              </w:tabs>
              <w:rPr>
                <w:rFonts w:ascii="Calibri" w:eastAsia="Calibri" w:hAnsi="Calibri" w:cs="Calibri"/>
                <w:color w:val="000000" w:themeColor="text1"/>
                <w:sz w:val="24"/>
                <w:szCs w:val="24"/>
              </w:rPr>
            </w:pPr>
            <w:r w:rsidRPr="00B72E60">
              <w:rPr>
                <w:rFonts w:ascii="Calibri" w:eastAsia="Calibri" w:hAnsi="Calibri" w:cs="Calibri"/>
                <w:color w:val="000000" w:themeColor="text1"/>
                <w:sz w:val="24"/>
                <w:szCs w:val="24"/>
              </w:rPr>
              <w:t>The following was highlighted:</w:t>
            </w:r>
          </w:p>
          <w:p w14:paraId="1D098999" w14:textId="1034B72B" w:rsidR="00C6238A" w:rsidRDefault="00C6238A" w:rsidP="00C6238A">
            <w:pPr>
              <w:pStyle w:val="ListParagraph"/>
              <w:numPr>
                <w:ilvl w:val="0"/>
                <w:numId w:val="25"/>
              </w:numPr>
              <w:spacing w:before="60" w:after="60"/>
              <w:rPr>
                <w:sz w:val="24"/>
              </w:rPr>
            </w:pPr>
            <w:r>
              <w:rPr>
                <w:sz w:val="24"/>
                <w:szCs w:val="24"/>
              </w:rPr>
              <w:t>t</w:t>
            </w:r>
            <w:r w:rsidRPr="000063A6">
              <w:rPr>
                <w:sz w:val="24"/>
                <w:szCs w:val="24"/>
              </w:rPr>
              <w:t xml:space="preserve">he risks in the register </w:t>
            </w:r>
            <w:r>
              <w:rPr>
                <w:sz w:val="24"/>
                <w:szCs w:val="24"/>
              </w:rPr>
              <w:t>included reference to the</w:t>
            </w:r>
            <w:r w:rsidRPr="000063A6">
              <w:rPr>
                <w:sz w:val="24"/>
                <w:szCs w:val="24"/>
              </w:rPr>
              <w:t xml:space="preserve"> categories in the risk appetite statement (</w:t>
            </w:r>
            <w:r w:rsidR="006C4400">
              <w:rPr>
                <w:sz w:val="24"/>
                <w:szCs w:val="24"/>
              </w:rPr>
              <w:t xml:space="preserve">minute </w:t>
            </w:r>
            <w:r w:rsidRPr="000063A6">
              <w:rPr>
                <w:sz w:val="24"/>
                <w:szCs w:val="24"/>
              </w:rPr>
              <w:t>ARC</w:t>
            </w:r>
            <w:r>
              <w:rPr>
                <w:sz w:val="24"/>
                <w:szCs w:val="24"/>
              </w:rPr>
              <w:t>/2022-</w:t>
            </w:r>
            <w:r w:rsidR="006C4400">
              <w:rPr>
                <w:sz w:val="24"/>
                <w:szCs w:val="24"/>
              </w:rPr>
              <w:t>09</w:t>
            </w:r>
            <w:r>
              <w:rPr>
                <w:sz w:val="24"/>
                <w:szCs w:val="24"/>
              </w:rPr>
              <w:t>-</w:t>
            </w:r>
            <w:r w:rsidR="006C4400">
              <w:rPr>
                <w:sz w:val="24"/>
                <w:szCs w:val="24"/>
              </w:rPr>
              <w:t>29</w:t>
            </w:r>
            <w:r>
              <w:rPr>
                <w:sz w:val="24"/>
                <w:szCs w:val="24"/>
              </w:rPr>
              <w:t>/</w:t>
            </w:r>
            <w:r w:rsidR="006C4400">
              <w:rPr>
                <w:sz w:val="24"/>
                <w:szCs w:val="24"/>
              </w:rPr>
              <w:t>8.3viii</w:t>
            </w:r>
            <w:r>
              <w:rPr>
                <w:sz w:val="24"/>
                <w:szCs w:val="24"/>
              </w:rPr>
              <w:t xml:space="preserve"> refers</w:t>
            </w:r>
            <w:r w:rsidRPr="000063A6">
              <w:rPr>
                <w:sz w:val="24"/>
                <w:szCs w:val="24"/>
              </w:rPr>
              <w:t>)</w:t>
            </w:r>
            <w:r>
              <w:rPr>
                <w:sz w:val="24"/>
                <w:szCs w:val="24"/>
              </w:rPr>
              <w:t>;</w:t>
            </w:r>
          </w:p>
          <w:p w14:paraId="54BD0D17" w14:textId="3A9C3D07" w:rsidR="006B4008" w:rsidRPr="00C6238A" w:rsidRDefault="001616F8" w:rsidP="000236E1">
            <w:pPr>
              <w:pStyle w:val="ListParagraph"/>
              <w:spacing w:before="60" w:after="60"/>
              <w:ind w:left="0"/>
              <w:rPr>
                <w:sz w:val="24"/>
              </w:rPr>
            </w:pPr>
            <w:r>
              <w:rPr>
                <w:sz w:val="24"/>
              </w:rPr>
              <w:t>Confidential minutes (ARC/2023-03-09/6.2.2 to 6.2.5) were recorded.</w:t>
            </w:r>
          </w:p>
        </w:tc>
      </w:tr>
      <w:tr w:rsidR="000B2703" w:rsidRPr="008A753B" w14:paraId="1B0BA7AC" w14:textId="77777777" w:rsidTr="395DEB2E">
        <w:tc>
          <w:tcPr>
            <w:tcW w:w="1844" w:type="dxa"/>
            <w:tcBorders>
              <w:top w:val="single" w:sz="4" w:space="0" w:color="auto"/>
              <w:bottom w:val="single" w:sz="4" w:space="0" w:color="auto"/>
            </w:tcBorders>
          </w:tcPr>
          <w:p w14:paraId="6886127C" w14:textId="413BE579" w:rsidR="000B2703" w:rsidRDefault="000B2703">
            <w:pPr>
              <w:spacing w:before="60" w:after="60"/>
              <w:ind w:left="-106" w:right="-108"/>
              <w:rPr>
                <w:sz w:val="24"/>
                <w:szCs w:val="24"/>
              </w:rPr>
            </w:pPr>
            <w:r>
              <w:rPr>
                <w:sz w:val="24"/>
                <w:szCs w:val="24"/>
              </w:rPr>
              <w:t>6.3</w:t>
            </w:r>
          </w:p>
        </w:tc>
        <w:tc>
          <w:tcPr>
            <w:tcW w:w="8226" w:type="dxa"/>
            <w:gridSpan w:val="2"/>
            <w:tcBorders>
              <w:top w:val="single" w:sz="4" w:space="0" w:color="auto"/>
              <w:bottom w:val="single" w:sz="4" w:space="0" w:color="auto"/>
            </w:tcBorders>
          </w:tcPr>
          <w:p w14:paraId="59CD6B2E" w14:textId="0D8F62ED" w:rsidR="000B2703" w:rsidRDefault="000B2703" w:rsidP="000B2703">
            <w:pPr>
              <w:pStyle w:val="ListParagraph"/>
              <w:spacing w:before="60" w:after="60"/>
              <w:ind w:left="0"/>
              <w:rPr>
                <w:sz w:val="24"/>
                <w:szCs w:val="24"/>
              </w:rPr>
            </w:pPr>
            <w:r>
              <w:rPr>
                <w:sz w:val="24"/>
                <w:szCs w:val="24"/>
              </w:rPr>
              <w:t>In response to questions/comments the following was noted:</w:t>
            </w:r>
          </w:p>
          <w:p w14:paraId="605B712A" w14:textId="2D6AFE17" w:rsidR="00143F29" w:rsidRDefault="00143F29" w:rsidP="00143F29">
            <w:pPr>
              <w:pStyle w:val="ListParagraph"/>
              <w:numPr>
                <w:ilvl w:val="0"/>
                <w:numId w:val="27"/>
              </w:numPr>
              <w:spacing w:before="60" w:after="60"/>
              <w:rPr>
                <w:sz w:val="24"/>
                <w:szCs w:val="24"/>
              </w:rPr>
            </w:pPr>
            <w:r w:rsidRPr="00AB0491">
              <w:rPr>
                <w:sz w:val="24"/>
                <w:szCs w:val="24"/>
              </w:rPr>
              <w:t>should the forthcoming departure of the Vice-Chancellor be included in the corporate risk register</w:t>
            </w:r>
            <w:r w:rsidRPr="003503D7">
              <w:rPr>
                <w:i/>
                <w:iCs/>
                <w:sz w:val="24"/>
                <w:szCs w:val="24"/>
              </w:rPr>
              <w:t>?</w:t>
            </w:r>
            <w:r w:rsidR="00E85E70">
              <w:rPr>
                <w:sz w:val="24"/>
                <w:szCs w:val="24"/>
              </w:rPr>
              <w:t xml:space="preserve"> The </w:t>
            </w:r>
            <w:r w:rsidR="00E85E70" w:rsidRPr="002C1CD8">
              <w:rPr>
                <w:sz w:val="24"/>
                <w:szCs w:val="24"/>
              </w:rPr>
              <w:t>Head of Planning, Risk and Compliance</w:t>
            </w:r>
            <w:r w:rsidR="00E85E70">
              <w:rPr>
                <w:sz w:val="24"/>
                <w:szCs w:val="24"/>
              </w:rPr>
              <w:t xml:space="preserve"> noted the suggestion and </w:t>
            </w:r>
            <w:r w:rsidR="003503D7">
              <w:rPr>
                <w:sz w:val="24"/>
                <w:szCs w:val="24"/>
              </w:rPr>
              <w:t>felt</w:t>
            </w:r>
            <w:r w:rsidR="00E85E70">
              <w:rPr>
                <w:sz w:val="24"/>
                <w:szCs w:val="24"/>
              </w:rPr>
              <w:t xml:space="preserve"> that it would be useful to get a steer from PwC on how other HEIs had addressed this in their risk registers;</w:t>
            </w:r>
          </w:p>
          <w:p w14:paraId="7CA284EE" w14:textId="32316017" w:rsidR="001616F8" w:rsidRDefault="001616F8" w:rsidP="001616F8">
            <w:pPr>
              <w:pStyle w:val="ListParagraph"/>
              <w:spacing w:before="60" w:after="60"/>
              <w:ind w:left="360"/>
              <w:rPr>
                <w:sz w:val="24"/>
                <w:szCs w:val="24"/>
              </w:rPr>
            </w:pPr>
          </w:p>
          <w:p w14:paraId="2B402F58" w14:textId="36B3898A" w:rsidR="001616F8" w:rsidRDefault="001616F8" w:rsidP="001616F8">
            <w:pPr>
              <w:pStyle w:val="ListParagraph"/>
              <w:spacing w:before="60" w:after="60"/>
              <w:ind w:left="360"/>
              <w:rPr>
                <w:sz w:val="24"/>
              </w:rPr>
            </w:pPr>
            <w:r>
              <w:rPr>
                <w:sz w:val="24"/>
              </w:rPr>
              <w:t>Confidential minutes (ARC/2023-03-09/6.3.2 to 6.3.12) were recorded.</w:t>
            </w:r>
          </w:p>
          <w:p w14:paraId="20B05118" w14:textId="77777777" w:rsidR="001616F8" w:rsidRDefault="001616F8" w:rsidP="001616F8">
            <w:pPr>
              <w:pStyle w:val="ListParagraph"/>
              <w:spacing w:before="60" w:after="60"/>
              <w:ind w:left="360"/>
              <w:rPr>
                <w:sz w:val="24"/>
                <w:szCs w:val="24"/>
              </w:rPr>
            </w:pPr>
          </w:p>
          <w:p w14:paraId="321C5FED" w14:textId="5DAD1CD1" w:rsidR="00063715" w:rsidRPr="00063715" w:rsidRDefault="00673ACC" w:rsidP="001616F8">
            <w:pPr>
              <w:pStyle w:val="ListParagraph"/>
              <w:numPr>
                <w:ilvl w:val="0"/>
                <w:numId w:val="32"/>
              </w:numPr>
              <w:spacing w:before="60" w:after="60"/>
              <w:rPr>
                <w:rFonts w:ascii="Calibri" w:eastAsia="Calibri" w:hAnsi="Calibri" w:cs="Calibri"/>
                <w:color w:val="000000" w:themeColor="text1"/>
                <w:sz w:val="24"/>
                <w:szCs w:val="24"/>
              </w:rPr>
            </w:pPr>
            <w:r>
              <w:rPr>
                <w:sz w:val="24"/>
                <w:szCs w:val="24"/>
              </w:rPr>
              <w:t xml:space="preserve">a member suggested that </w:t>
            </w:r>
            <w:r w:rsidR="008D3A75">
              <w:rPr>
                <w:sz w:val="24"/>
                <w:szCs w:val="24"/>
              </w:rPr>
              <w:t>i</w:t>
            </w:r>
            <w:r w:rsidR="00063715">
              <w:rPr>
                <w:sz w:val="24"/>
                <w:szCs w:val="24"/>
              </w:rPr>
              <w:t xml:space="preserve">t would help to include more trackable KPIs in the CRR. It was noted that </w:t>
            </w:r>
            <w:r>
              <w:rPr>
                <w:sz w:val="24"/>
                <w:szCs w:val="24"/>
              </w:rPr>
              <w:t>K</w:t>
            </w:r>
            <w:r w:rsidR="00063715">
              <w:rPr>
                <w:sz w:val="24"/>
                <w:szCs w:val="24"/>
              </w:rPr>
              <w:t xml:space="preserve">PIs were in place and reported via the </w:t>
            </w:r>
            <w:r>
              <w:rPr>
                <w:sz w:val="24"/>
                <w:szCs w:val="24"/>
              </w:rPr>
              <w:t>University Performance Report (</w:t>
            </w:r>
            <w:r w:rsidR="00063715">
              <w:rPr>
                <w:sz w:val="24"/>
                <w:szCs w:val="24"/>
              </w:rPr>
              <w:t>UPR</w:t>
            </w:r>
            <w:r>
              <w:rPr>
                <w:sz w:val="24"/>
                <w:szCs w:val="24"/>
              </w:rPr>
              <w:t>)</w:t>
            </w:r>
            <w:r w:rsidR="00063715">
              <w:rPr>
                <w:sz w:val="24"/>
                <w:szCs w:val="24"/>
              </w:rPr>
              <w:t xml:space="preserve"> to the Board.</w:t>
            </w:r>
            <w:r w:rsidR="002364C4">
              <w:rPr>
                <w:sz w:val="24"/>
                <w:szCs w:val="24"/>
              </w:rPr>
              <w:t xml:space="preserve"> It was noted that the </w:t>
            </w:r>
            <w:r w:rsidR="00D829AE" w:rsidRPr="00D829AE">
              <w:rPr>
                <w:sz w:val="24"/>
                <w:szCs w:val="24"/>
                <w:lang w:val="en"/>
              </w:rPr>
              <w:t xml:space="preserve">planning, performance, and risk framework (paper </w:t>
            </w:r>
            <w:r w:rsidR="00D829AE" w:rsidRPr="00D829AE">
              <w:rPr>
                <w:sz w:val="24"/>
                <w:szCs w:val="24"/>
              </w:rPr>
              <w:t xml:space="preserve">ARC/2022-09-29/P7ii) </w:t>
            </w:r>
            <w:r w:rsidR="00AB0491">
              <w:rPr>
                <w:sz w:val="24"/>
                <w:szCs w:val="24"/>
              </w:rPr>
              <w:t>included submitting</w:t>
            </w:r>
            <w:r w:rsidR="00D829AE" w:rsidRPr="00D829AE">
              <w:rPr>
                <w:sz w:val="24"/>
                <w:szCs w:val="24"/>
              </w:rPr>
              <w:t xml:space="preserve"> the UP</w:t>
            </w:r>
            <w:r w:rsidR="00AB0491">
              <w:rPr>
                <w:sz w:val="24"/>
                <w:szCs w:val="24"/>
              </w:rPr>
              <w:t>R</w:t>
            </w:r>
            <w:r w:rsidR="00D829AE" w:rsidRPr="00D829AE">
              <w:rPr>
                <w:sz w:val="24"/>
                <w:szCs w:val="24"/>
              </w:rPr>
              <w:t xml:space="preserve"> to ARC</w:t>
            </w:r>
            <w:r w:rsidR="00122766">
              <w:rPr>
                <w:sz w:val="24"/>
                <w:szCs w:val="24"/>
              </w:rPr>
              <w:t xml:space="preserve"> </w:t>
            </w:r>
            <w:r w:rsidR="00AB0491">
              <w:rPr>
                <w:sz w:val="24"/>
                <w:szCs w:val="24"/>
              </w:rPr>
              <w:t>which</w:t>
            </w:r>
            <w:r w:rsidR="00122766">
              <w:rPr>
                <w:sz w:val="24"/>
                <w:szCs w:val="24"/>
              </w:rPr>
              <w:t xml:space="preserve"> would allow </w:t>
            </w:r>
            <w:r w:rsidR="00AB0491">
              <w:rPr>
                <w:sz w:val="24"/>
                <w:szCs w:val="24"/>
              </w:rPr>
              <w:t>the Committee</w:t>
            </w:r>
            <w:r w:rsidR="00122766">
              <w:rPr>
                <w:sz w:val="24"/>
                <w:szCs w:val="24"/>
              </w:rPr>
              <w:t xml:space="preserve"> to review </w:t>
            </w:r>
            <w:r w:rsidR="00122766" w:rsidRPr="00122766">
              <w:rPr>
                <w:sz w:val="24"/>
                <w:szCs w:val="24"/>
              </w:rPr>
              <w:t xml:space="preserve">the risk register in the context of progress against </w:t>
            </w:r>
            <w:r w:rsidR="00122766">
              <w:rPr>
                <w:sz w:val="24"/>
                <w:szCs w:val="24"/>
              </w:rPr>
              <w:t xml:space="preserve">the </w:t>
            </w:r>
            <w:r w:rsidR="00AB0491">
              <w:rPr>
                <w:sz w:val="24"/>
                <w:szCs w:val="24"/>
              </w:rPr>
              <w:t>U</w:t>
            </w:r>
            <w:r w:rsidR="00122766">
              <w:rPr>
                <w:sz w:val="24"/>
                <w:szCs w:val="24"/>
              </w:rPr>
              <w:t>niversity’s</w:t>
            </w:r>
            <w:r w:rsidR="00122766" w:rsidRPr="00122766">
              <w:rPr>
                <w:sz w:val="24"/>
                <w:szCs w:val="24"/>
              </w:rPr>
              <w:t xml:space="preserve"> plan and KPIs</w:t>
            </w:r>
            <w:r w:rsidR="00063715">
              <w:rPr>
                <w:sz w:val="24"/>
                <w:szCs w:val="24"/>
              </w:rPr>
              <w:t>;</w:t>
            </w:r>
          </w:p>
          <w:p w14:paraId="284C4156" w14:textId="0469CB29" w:rsidR="00063715" w:rsidRDefault="008D3A75" w:rsidP="001616F8">
            <w:pPr>
              <w:pStyle w:val="ListParagraph"/>
              <w:numPr>
                <w:ilvl w:val="0"/>
                <w:numId w:val="32"/>
              </w:numPr>
              <w:spacing w:before="60" w:after="60"/>
              <w:rPr>
                <w:rFonts w:ascii="Calibri" w:eastAsia="Calibri" w:hAnsi="Calibri" w:cs="Calibri"/>
                <w:color w:val="000000" w:themeColor="text1"/>
                <w:sz w:val="24"/>
                <w:szCs w:val="24"/>
              </w:rPr>
            </w:pPr>
            <w:r>
              <w:rPr>
                <w:rFonts w:ascii="Calibri" w:eastAsia="Calibri" w:hAnsi="Calibri" w:cs="Calibri"/>
                <w:color w:val="000000" w:themeColor="text1"/>
                <w:sz w:val="24"/>
                <w:szCs w:val="24"/>
              </w:rPr>
              <w:t>t</w:t>
            </w:r>
            <w:r w:rsidR="00063715" w:rsidRPr="00063715">
              <w:rPr>
                <w:rFonts w:ascii="Calibri" w:eastAsia="Calibri" w:hAnsi="Calibri" w:cs="Calibri"/>
                <w:color w:val="000000" w:themeColor="text1"/>
                <w:sz w:val="24"/>
                <w:szCs w:val="24"/>
              </w:rPr>
              <w:t>he outcome of the 202</w:t>
            </w:r>
            <w:r w:rsidR="003A620C">
              <w:rPr>
                <w:rFonts w:ascii="Calibri" w:eastAsia="Calibri" w:hAnsi="Calibri" w:cs="Calibri"/>
                <w:color w:val="000000" w:themeColor="text1"/>
                <w:sz w:val="24"/>
                <w:szCs w:val="24"/>
              </w:rPr>
              <w:t>3</w:t>
            </w:r>
            <w:r w:rsidR="00063715" w:rsidRPr="00063715">
              <w:rPr>
                <w:rFonts w:ascii="Calibri" w:eastAsia="Calibri" w:hAnsi="Calibri" w:cs="Calibri"/>
                <w:color w:val="000000" w:themeColor="text1"/>
                <w:sz w:val="24"/>
                <w:szCs w:val="24"/>
              </w:rPr>
              <w:t xml:space="preserve"> NSS </w:t>
            </w:r>
            <w:r w:rsidR="003A620C">
              <w:rPr>
                <w:rFonts w:ascii="Calibri" w:eastAsia="Calibri" w:hAnsi="Calibri" w:cs="Calibri"/>
                <w:color w:val="000000" w:themeColor="text1"/>
                <w:sz w:val="24"/>
                <w:szCs w:val="24"/>
              </w:rPr>
              <w:t>would be known in July</w:t>
            </w:r>
            <w:r w:rsidR="001616F8">
              <w:rPr>
                <w:rFonts w:ascii="Calibri" w:eastAsia="Calibri" w:hAnsi="Calibri" w:cs="Calibri"/>
                <w:color w:val="000000" w:themeColor="text1"/>
                <w:sz w:val="24"/>
                <w:szCs w:val="24"/>
              </w:rPr>
              <w:t xml:space="preserve"> 2023</w:t>
            </w:r>
            <w:r w:rsidR="003A620C">
              <w:rPr>
                <w:rFonts w:ascii="Calibri" w:eastAsia="Calibri" w:hAnsi="Calibri" w:cs="Calibri"/>
                <w:color w:val="000000" w:themeColor="text1"/>
                <w:sz w:val="24"/>
                <w:szCs w:val="24"/>
              </w:rPr>
              <w:t>/the summer</w:t>
            </w:r>
            <w:r>
              <w:rPr>
                <w:rFonts w:ascii="Calibri" w:eastAsia="Calibri" w:hAnsi="Calibri" w:cs="Calibri"/>
                <w:color w:val="000000" w:themeColor="text1"/>
                <w:sz w:val="24"/>
                <w:szCs w:val="24"/>
              </w:rPr>
              <w:t>;</w:t>
            </w:r>
          </w:p>
          <w:p w14:paraId="7A7FFCA1" w14:textId="12824366" w:rsidR="001616F8" w:rsidRPr="00B72E60" w:rsidRDefault="00BC5B22" w:rsidP="001616F8">
            <w:pPr>
              <w:pStyle w:val="ListParagraph"/>
              <w:numPr>
                <w:ilvl w:val="0"/>
                <w:numId w:val="32"/>
              </w:numPr>
              <w:spacing w:before="60" w:after="60"/>
              <w:rPr>
                <w:rFonts w:ascii="Calibri" w:eastAsia="Calibri" w:hAnsi="Calibri" w:cs="Calibri"/>
                <w:color w:val="000000" w:themeColor="text1"/>
                <w:sz w:val="24"/>
                <w:szCs w:val="24"/>
              </w:rPr>
            </w:pPr>
            <w:r w:rsidRPr="001616F8">
              <w:rPr>
                <w:rFonts w:ascii="Calibri" w:eastAsia="Calibri" w:hAnsi="Calibri" w:cs="Calibri"/>
                <w:color w:val="000000" w:themeColor="text1"/>
                <w:sz w:val="24"/>
                <w:szCs w:val="24"/>
              </w:rPr>
              <w:t>the Committee</w:t>
            </w:r>
            <w:r w:rsidR="008D3A75" w:rsidRPr="001616F8">
              <w:rPr>
                <w:rFonts w:ascii="Calibri" w:eastAsia="Calibri" w:hAnsi="Calibri" w:cs="Calibri"/>
                <w:color w:val="000000" w:themeColor="text1"/>
                <w:sz w:val="24"/>
                <w:szCs w:val="24"/>
              </w:rPr>
              <w:t xml:space="preserve"> welcomed the incorporation of t</w:t>
            </w:r>
            <w:r w:rsidR="008D3A75" w:rsidRPr="001616F8">
              <w:rPr>
                <w:sz w:val="24"/>
                <w:szCs w:val="24"/>
              </w:rPr>
              <w:t>he categories in the risk appetite statement</w:t>
            </w:r>
            <w:r w:rsidR="008D3A75" w:rsidRPr="001616F8">
              <w:rPr>
                <w:rFonts w:ascii="Calibri" w:eastAsia="Calibri" w:hAnsi="Calibri" w:cs="Calibri"/>
                <w:color w:val="000000" w:themeColor="text1"/>
                <w:sz w:val="24"/>
                <w:szCs w:val="24"/>
              </w:rPr>
              <w:t xml:space="preserve"> into</w:t>
            </w:r>
            <w:r w:rsidR="008D3A75" w:rsidRPr="001616F8">
              <w:rPr>
                <w:sz w:val="24"/>
                <w:szCs w:val="24"/>
              </w:rPr>
              <w:t xml:space="preserve"> risks in the </w:t>
            </w:r>
            <w:r w:rsidRPr="001616F8">
              <w:rPr>
                <w:sz w:val="24"/>
                <w:szCs w:val="24"/>
              </w:rPr>
              <w:t>CRR.</w:t>
            </w:r>
          </w:p>
        </w:tc>
      </w:tr>
      <w:tr w:rsidR="003E2820" w:rsidRPr="008A753B" w14:paraId="6B6FC3BF" w14:textId="77777777" w:rsidTr="395DEB2E">
        <w:tc>
          <w:tcPr>
            <w:tcW w:w="1844" w:type="dxa"/>
            <w:tcBorders>
              <w:top w:val="single" w:sz="4" w:space="0" w:color="auto"/>
              <w:bottom w:val="single" w:sz="4" w:space="0" w:color="auto"/>
            </w:tcBorders>
          </w:tcPr>
          <w:p w14:paraId="7FDF4AE3" w14:textId="2A1D13E7" w:rsidR="003E2820" w:rsidRDefault="003E2820">
            <w:pPr>
              <w:spacing w:before="60" w:after="60"/>
              <w:ind w:left="-106" w:right="-108"/>
              <w:rPr>
                <w:sz w:val="24"/>
                <w:szCs w:val="24"/>
              </w:rPr>
            </w:pPr>
            <w:r>
              <w:rPr>
                <w:sz w:val="24"/>
                <w:szCs w:val="24"/>
              </w:rPr>
              <w:t>6.4</w:t>
            </w:r>
          </w:p>
        </w:tc>
        <w:tc>
          <w:tcPr>
            <w:tcW w:w="8226" w:type="dxa"/>
            <w:gridSpan w:val="2"/>
            <w:tcBorders>
              <w:top w:val="single" w:sz="4" w:space="0" w:color="auto"/>
              <w:bottom w:val="single" w:sz="4" w:space="0" w:color="auto"/>
            </w:tcBorders>
          </w:tcPr>
          <w:p w14:paraId="3448E46C" w14:textId="753F0CB5" w:rsidR="003E2820" w:rsidRDefault="003E2820" w:rsidP="000B2703">
            <w:pPr>
              <w:pStyle w:val="ListParagraph"/>
              <w:spacing w:before="60" w:after="60"/>
              <w:ind w:left="0"/>
              <w:rPr>
                <w:sz w:val="24"/>
                <w:szCs w:val="24"/>
              </w:rPr>
            </w:pPr>
            <w:r>
              <w:rPr>
                <w:sz w:val="24"/>
                <w:szCs w:val="24"/>
              </w:rPr>
              <w:t>Members welcomed the suggested cyber risk deep dive (ARC/2023-03-09/6.3.2 refers)</w:t>
            </w:r>
            <w:r w:rsidR="00802CDD">
              <w:rPr>
                <w:sz w:val="24"/>
                <w:szCs w:val="24"/>
              </w:rPr>
              <w:t>.</w:t>
            </w:r>
          </w:p>
        </w:tc>
      </w:tr>
      <w:bookmarkEnd w:id="5"/>
      <w:tr w:rsidR="00875C3E" w:rsidRPr="008A753B" w14:paraId="2624BD06" w14:textId="77777777" w:rsidTr="395DEB2E">
        <w:tc>
          <w:tcPr>
            <w:tcW w:w="1844" w:type="dxa"/>
            <w:tcBorders>
              <w:top w:val="single" w:sz="4" w:space="0" w:color="auto"/>
              <w:bottom w:val="single" w:sz="4" w:space="0" w:color="auto"/>
            </w:tcBorders>
            <w:shd w:val="clear" w:color="auto" w:fill="D9D9D9" w:themeFill="background1" w:themeFillShade="D9"/>
          </w:tcPr>
          <w:p w14:paraId="46E87A40" w14:textId="1D60F68F" w:rsidR="00875C3E" w:rsidRPr="003A56C1" w:rsidRDefault="00875C3E">
            <w:pPr>
              <w:pStyle w:val="Heading3"/>
              <w:spacing w:before="60" w:after="60"/>
              <w:ind w:left="-106" w:right="-108"/>
              <w:rPr>
                <w:sz w:val="20"/>
                <w:szCs w:val="20"/>
              </w:rPr>
            </w:pPr>
            <w:r w:rsidRPr="009C163A">
              <w:t>ARC/202</w:t>
            </w:r>
            <w:r>
              <w:t>3</w:t>
            </w:r>
            <w:r w:rsidRPr="009C163A">
              <w:t>-</w:t>
            </w:r>
            <w:r>
              <w:t>03-09</w:t>
            </w:r>
            <w:r w:rsidRPr="009C163A">
              <w:t>/</w:t>
            </w:r>
            <w:r>
              <w:t>7</w:t>
            </w:r>
          </w:p>
        </w:tc>
        <w:tc>
          <w:tcPr>
            <w:tcW w:w="6379" w:type="dxa"/>
            <w:tcBorders>
              <w:top w:val="single" w:sz="4" w:space="0" w:color="auto"/>
              <w:bottom w:val="single" w:sz="4" w:space="0" w:color="auto"/>
            </w:tcBorders>
            <w:shd w:val="clear" w:color="auto" w:fill="D9D9D9" w:themeFill="background1" w:themeFillShade="D9"/>
          </w:tcPr>
          <w:p w14:paraId="3805CBD2" w14:textId="77777777" w:rsidR="00875C3E" w:rsidRDefault="00875C3E" w:rsidP="009A18E9">
            <w:pPr>
              <w:pStyle w:val="Heading2"/>
              <w:rPr>
                <w:bCs/>
                <w:szCs w:val="24"/>
              </w:rPr>
            </w:pPr>
            <w:r>
              <w:rPr>
                <w:bCs/>
                <w:szCs w:val="24"/>
              </w:rPr>
              <w:t>RISK MANAGEMENT</w:t>
            </w:r>
          </w:p>
          <w:p w14:paraId="51691BC4" w14:textId="01AEBA8B" w:rsidR="00875C3E" w:rsidRDefault="00875C3E" w:rsidP="009A18E9">
            <w:pPr>
              <w:pStyle w:val="Heading2"/>
              <w:rPr>
                <w:bCs/>
                <w:szCs w:val="24"/>
              </w:rPr>
            </w:pPr>
            <w:r>
              <w:rPr>
                <w:bCs/>
                <w:szCs w:val="24"/>
              </w:rPr>
              <w:t>ii.</w:t>
            </w:r>
            <w:r w:rsidR="008D3A75">
              <w:rPr>
                <w:bCs/>
                <w:szCs w:val="24"/>
              </w:rPr>
              <w:tab/>
            </w:r>
            <w:r w:rsidRPr="00BE6659">
              <w:rPr>
                <w:bCs/>
                <w:szCs w:val="24"/>
              </w:rPr>
              <w:t>RISK DEEP DIVE</w:t>
            </w:r>
            <w:r>
              <w:rPr>
                <w:bCs/>
                <w:szCs w:val="24"/>
              </w:rPr>
              <w:t>: INTERNATIONAL STUDENT RECRUITMENT AND EXPERIENCE/SUPPORT</w:t>
            </w:r>
          </w:p>
          <w:p w14:paraId="5FA6D4D8" w14:textId="2BDF7E87" w:rsidR="00875C3E" w:rsidRPr="00D75602" w:rsidRDefault="00875C3E" w:rsidP="00D75602"/>
        </w:tc>
        <w:tc>
          <w:tcPr>
            <w:tcW w:w="1847" w:type="dxa"/>
            <w:tcBorders>
              <w:top w:val="single" w:sz="4" w:space="0" w:color="auto"/>
              <w:bottom w:val="single" w:sz="4" w:space="0" w:color="auto"/>
            </w:tcBorders>
            <w:shd w:val="clear" w:color="auto" w:fill="D9D9D9" w:themeFill="background1" w:themeFillShade="D9"/>
          </w:tcPr>
          <w:p w14:paraId="1E405C61" w14:textId="5813A5A6" w:rsidR="00875C3E" w:rsidRPr="003A56C1" w:rsidRDefault="00875C3E" w:rsidP="009E2F48">
            <w:pPr>
              <w:spacing w:before="60" w:after="60"/>
              <w:jc w:val="right"/>
              <w:rPr>
                <w:sz w:val="20"/>
                <w:szCs w:val="20"/>
              </w:rPr>
            </w:pPr>
          </w:p>
        </w:tc>
      </w:tr>
      <w:tr w:rsidR="00875C3E" w:rsidRPr="008A753B" w14:paraId="5951661F" w14:textId="77777777" w:rsidTr="395DEB2E">
        <w:tc>
          <w:tcPr>
            <w:tcW w:w="1844" w:type="dxa"/>
            <w:tcBorders>
              <w:top w:val="single" w:sz="4" w:space="0" w:color="auto"/>
              <w:bottom w:val="single" w:sz="4" w:space="0" w:color="auto"/>
            </w:tcBorders>
          </w:tcPr>
          <w:p w14:paraId="6A74431A" w14:textId="6AA61942" w:rsidR="00875C3E" w:rsidRPr="008A753B" w:rsidRDefault="00875C3E">
            <w:pPr>
              <w:spacing w:before="60" w:after="60"/>
              <w:ind w:left="-106" w:right="-108"/>
              <w:rPr>
                <w:sz w:val="24"/>
                <w:szCs w:val="24"/>
              </w:rPr>
            </w:pPr>
            <w:r>
              <w:rPr>
                <w:sz w:val="24"/>
                <w:szCs w:val="24"/>
              </w:rPr>
              <w:t>7</w:t>
            </w:r>
            <w:r w:rsidRPr="008A753B">
              <w:rPr>
                <w:sz w:val="24"/>
                <w:szCs w:val="24"/>
              </w:rPr>
              <w:t>.1</w:t>
            </w:r>
          </w:p>
        </w:tc>
        <w:tc>
          <w:tcPr>
            <w:tcW w:w="8226" w:type="dxa"/>
            <w:gridSpan w:val="2"/>
            <w:tcBorders>
              <w:top w:val="single" w:sz="4" w:space="0" w:color="auto"/>
              <w:bottom w:val="single" w:sz="4" w:space="0" w:color="auto"/>
            </w:tcBorders>
          </w:tcPr>
          <w:p w14:paraId="093F37EE" w14:textId="6D854C90" w:rsidR="00CB2B51" w:rsidRPr="00CB2B51" w:rsidRDefault="008D3A75" w:rsidP="009A3C81">
            <w:pPr>
              <w:spacing w:before="60" w:after="60"/>
              <w:rPr>
                <w:sz w:val="24"/>
                <w:szCs w:val="24"/>
              </w:rPr>
            </w:pPr>
            <w:r w:rsidRPr="008D3A75">
              <w:rPr>
                <w:color w:val="000000" w:themeColor="text1"/>
                <w:sz w:val="24"/>
                <w:szCs w:val="24"/>
              </w:rPr>
              <w:t xml:space="preserve">James Richardson, </w:t>
            </w:r>
            <w:bookmarkStart w:id="6" w:name="_Hlk129869953"/>
            <w:r w:rsidRPr="008D3A75">
              <w:rPr>
                <w:color w:val="000000" w:themeColor="text1"/>
                <w:sz w:val="24"/>
                <w:szCs w:val="24"/>
              </w:rPr>
              <w:t xml:space="preserve">Director of Global Development Partnerships and Claire Gandy, Director of Student Support Services </w:t>
            </w:r>
            <w:r>
              <w:rPr>
                <w:color w:val="000000" w:themeColor="text1"/>
                <w:sz w:val="24"/>
                <w:szCs w:val="24"/>
              </w:rPr>
              <w:t>presented an overview of (</w:t>
            </w:r>
            <w:proofErr w:type="spellStart"/>
            <w:r>
              <w:rPr>
                <w:color w:val="000000" w:themeColor="text1"/>
                <w:sz w:val="24"/>
                <w:szCs w:val="24"/>
              </w:rPr>
              <w:t>i</w:t>
            </w:r>
            <w:proofErr w:type="spellEnd"/>
            <w:r>
              <w:rPr>
                <w:color w:val="000000" w:themeColor="text1"/>
                <w:sz w:val="24"/>
                <w:szCs w:val="24"/>
              </w:rPr>
              <w:t xml:space="preserve">) the </w:t>
            </w:r>
            <w:r>
              <w:rPr>
                <w:color w:val="000000" w:themeColor="text1"/>
                <w:sz w:val="24"/>
                <w:szCs w:val="24"/>
              </w:rPr>
              <w:lastRenderedPageBreak/>
              <w:t>position in relation to international student recruitment including the key risks and (ii) the support provided for international students</w:t>
            </w:r>
            <w:bookmarkEnd w:id="6"/>
            <w:r>
              <w:rPr>
                <w:color w:val="000000" w:themeColor="text1"/>
                <w:sz w:val="24"/>
                <w:szCs w:val="24"/>
              </w:rPr>
              <w:t xml:space="preserve">. </w:t>
            </w:r>
            <w:r w:rsidR="009A3C81">
              <w:rPr>
                <w:color w:val="000000" w:themeColor="text1"/>
                <w:sz w:val="24"/>
                <w:szCs w:val="24"/>
              </w:rPr>
              <w:t>A minute confidential to the Committee was recorded.</w:t>
            </w:r>
          </w:p>
        </w:tc>
      </w:tr>
      <w:tr w:rsidR="00486582" w:rsidRPr="008A753B" w14:paraId="1A988F2A" w14:textId="77777777" w:rsidTr="395DEB2E">
        <w:tc>
          <w:tcPr>
            <w:tcW w:w="1844" w:type="dxa"/>
            <w:tcBorders>
              <w:top w:val="single" w:sz="4" w:space="0" w:color="auto"/>
              <w:bottom w:val="single" w:sz="4" w:space="0" w:color="auto"/>
            </w:tcBorders>
          </w:tcPr>
          <w:p w14:paraId="2F543B98" w14:textId="3E3AF495" w:rsidR="00486582" w:rsidRDefault="00486582">
            <w:pPr>
              <w:spacing w:before="60" w:after="60"/>
              <w:ind w:left="-106" w:right="-108"/>
              <w:rPr>
                <w:sz w:val="24"/>
                <w:szCs w:val="24"/>
              </w:rPr>
            </w:pPr>
            <w:r>
              <w:rPr>
                <w:sz w:val="24"/>
                <w:szCs w:val="24"/>
              </w:rPr>
              <w:lastRenderedPageBreak/>
              <w:t>7.2</w:t>
            </w:r>
          </w:p>
        </w:tc>
        <w:tc>
          <w:tcPr>
            <w:tcW w:w="8226" w:type="dxa"/>
            <w:gridSpan w:val="2"/>
            <w:tcBorders>
              <w:top w:val="single" w:sz="4" w:space="0" w:color="auto"/>
              <w:bottom w:val="single" w:sz="4" w:space="0" w:color="auto"/>
            </w:tcBorders>
          </w:tcPr>
          <w:p w14:paraId="4D7EF562" w14:textId="25889A12" w:rsidR="009F1A58" w:rsidRPr="00486582" w:rsidRDefault="009A3C81" w:rsidP="009A3C81">
            <w:pPr>
              <w:pStyle w:val="ListParagraph"/>
              <w:spacing w:before="60" w:after="60"/>
              <w:ind w:left="0"/>
              <w:rPr>
                <w:color w:val="000000" w:themeColor="text1"/>
                <w:sz w:val="24"/>
                <w:szCs w:val="24"/>
              </w:rPr>
            </w:pPr>
            <w:r>
              <w:rPr>
                <w:color w:val="000000" w:themeColor="text1"/>
                <w:sz w:val="24"/>
                <w:szCs w:val="24"/>
              </w:rPr>
              <w:t>A minute confidential to the Committee was recorded.</w:t>
            </w:r>
          </w:p>
        </w:tc>
      </w:tr>
      <w:tr w:rsidR="00875C3E" w:rsidRPr="008A753B" w14:paraId="6B1A8B94" w14:textId="77777777" w:rsidTr="395DEB2E">
        <w:tc>
          <w:tcPr>
            <w:tcW w:w="1844" w:type="dxa"/>
            <w:tcBorders>
              <w:top w:val="single" w:sz="4" w:space="0" w:color="auto"/>
              <w:bottom w:val="single" w:sz="4" w:space="0" w:color="auto"/>
            </w:tcBorders>
            <w:shd w:val="clear" w:color="auto" w:fill="D9D9D9" w:themeFill="background1" w:themeFillShade="D9"/>
          </w:tcPr>
          <w:p w14:paraId="22C7AA1A" w14:textId="56D70809" w:rsidR="00875C3E" w:rsidRPr="00E94B92" w:rsidRDefault="00875C3E" w:rsidP="009A18E9">
            <w:pPr>
              <w:pStyle w:val="Heading3"/>
              <w:spacing w:before="60" w:after="60"/>
              <w:ind w:left="-106" w:right="-108"/>
              <w:rPr>
                <w:sz w:val="20"/>
                <w:szCs w:val="20"/>
              </w:rPr>
            </w:pPr>
            <w:r w:rsidRPr="009C163A">
              <w:t>ARC/202</w:t>
            </w:r>
            <w:r>
              <w:t>3</w:t>
            </w:r>
            <w:r w:rsidRPr="009C163A">
              <w:t>-</w:t>
            </w:r>
            <w:r>
              <w:t>03-09</w:t>
            </w:r>
            <w:r w:rsidRPr="009C163A">
              <w:t>/</w:t>
            </w:r>
            <w:r>
              <w:t>8</w:t>
            </w:r>
          </w:p>
        </w:tc>
        <w:tc>
          <w:tcPr>
            <w:tcW w:w="6379" w:type="dxa"/>
            <w:tcBorders>
              <w:top w:val="single" w:sz="4" w:space="0" w:color="auto"/>
              <w:bottom w:val="single" w:sz="4" w:space="0" w:color="auto"/>
            </w:tcBorders>
            <w:shd w:val="clear" w:color="auto" w:fill="D9D9D9" w:themeFill="background1" w:themeFillShade="D9"/>
          </w:tcPr>
          <w:p w14:paraId="60D55E11" w14:textId="74A825DD" w:rsidR="00875C3E" w:rsidRPr="000E4243" w:rsidRDefault="00875C3E" w:rsidP="001B1CF1">
            <w:pPr>
              <w:rPr>
                <w:sz w:val="24"/>
                <w:szCs w:val="24"/>
              </w:rPr>
            </w:pPr>
            <w:r w:rsidRPr="000E4243">
              <w:rPr>
                <w:b/>
                <w:bCs/>
                <w:sz w:val="24"/>
                <w:szCs w:val="24"/>
              </w:rPr>
              <w:t>UPDATE FROM AUDITORS ON AUDIT MATTERS AND SECTOR ISSUES</w:t>
            </w:r>
          </w:p>
        </w:tc>
        <w:tc>
          <w:tcPr>
            <w:tcW w:w="1847" w:type="dxa"/>
            <w:tcBorders>
              <w:top w:val="single" w:sz="4" w:space="0" w:color="auto"/>
              <w:bottom w:val="single" w:sz="4" w:space="0" w:color="auto"/>
            </w:tcBorders>
            <w:shd w:val="clear" w:color="auto" w:fill="D9D9D9" w:themeFill="background1" w:themeFillShade="D9"/>
          </w:tcPr>
          <w:p w14:paraId="74869BF9" w14:textId="4200F351" w:rsidR="00875C3E" w:rsidRPr="009E2F48" w:rsidRDefault="00875C3E" w:rsidP="009E2F48">
            <w:pPr>
              <w:pStyle w:val="Heading3"/>
              <w:spacing w:before="60" w:after="60"/>
              <w:ind w:left="-113" w:right="-109"/>
              <w:jc w:val="right"/>
            </w:pPr>
          </w:p>
        </w:tc>
      </w:tr>
      <w:tr w:rsidR="00875C3E" w:rsidRPr="008A753B" w14:paraId="391EB566" w14:textId="77777777" w:rsidTr="395DEB2E">
        <w:tc>
          <w:tcPr>
            <w:tcW w:w="1844" w:type="dxa"/>
            <w:tcBorders>
              <w:top w:val="single" w:sz="4" w:space="0" w:color="auto"/>
              <w:bottom w:val="single" w:sz="4" w:space="0" w:color="auto"/>
            </w:tcBorders>
          </w:tcPr>
          <w:p w14:paraId="74698ACC" w14:textId="26A822D1" w:rsidR="00875C3E" w:rsidRPr="008A753B" w:rsidRDefault="00875C3E">
            <w:pPr>
              <w:spacing w:before="60" w:after="60"/>
              <w:ind w:left="-106" w:right="-108"/>
              <w:rPr>
                <w:sz w:val="24"/>
                <w:szCs w:val="24"/>
              </w:rPr>
            </w:pPr>
            <w:r>
              <w:rPr>
                <w:sz w:val="24"/>
                <w:szCs w:val="24"/>
              </w:rPr>
              <w:t>8</w:t>
            </w:r>
            <w:r w:rsidRPr="008A753B">
              <w:rPr>
                <w:sz w:val="24"/>
                <w:szCs w:val="24"/>
              </w:rPr>
              <w:t>.1</w:t>
            </w:r>
          </w:p>
        </w:tc>
        <w:tc>
          <w:tcPr>
            <w:tcW w:w="8226" w:type="dxa"/>
            <w:gridSpan w:val="2"/>
            <w:tcBorders>
              <w:top w:val="single" w:sz="4" w:space="0" w:color="auto"/>
              <w:bottom w:val="single" w:sz="4" w:space="0" w:color="auto"/>
            </w:tcBorders>
          </w:tcPr>
          <w:p w14:paraId="0FFEB2D1" w14:textId="295C0E50" w:rsidR="00875C3E" w:rsidRPr="008A753B" w:rsidRDefault="003A620C">
            <w:pPr>
              <w:spacing w:before="60" w:after="60"/>
              <w:rPr>
                <w:sz w:val="24"/>
                <w:szCs w:val="24"/>
              </w:rPr>
            </w:pPr>
            <w:r>
              <w:rPr>
                <w:sz w:val="24"/>
                <w:szCs w:val="24"/>
              </w:rPr>
              <w:t xml:space="preserve">It was noted that a number of insight papers </w:t>
            </w:r>
            <w:r w:rsidR="002017E3">
              <w:rPr>
                <w:sz w:val="24"/>
                <w:szCs w:val="24"/>
              </w:rPr>
              <w:t>produced</w:t>
            </w:r>
            <w:r>
              <w:rPr>
                <w:sz w:val="24"/>
                <w:szCs w:val="24"/>
              </w:rPr>
              <w:t xml:space="preserve"> by PwC had been shared with members outside the meeting and it was noted that this included </w:t>
            </w:r>
            <w:r w:rsidR="002017E3">
              <w:rPr>
                <w:sz w:val="24"/>
                <w:szCs w:val="24"/>
              </w:rPr>
              <w:t xml:space="preserve">the HE Internal Audit Annual Report Benchmarking 2021/22 which included </w:t>
            </w:r>
            <w:r>
              <w:rPr>
                <w:sz w:val="24"/>
                <w:szCs w:val="24"/>
              </w:rPr>
              <w:t xml:space="preserve">an annual analysis of </w:t>
            </w:r>
            <w:r w:rsidR="002017E3">
              <w:rPr>
                <w:sz w:val="24"/>
                <w:szCs w:val="24"/>
              </w:rPr>
              <w:t xml:space="preserve">themes with </w:t>
            </w:r>
            <w:r>
              <w:rPr>
                <w:sz w:val="24"/>
                <w:szCs w:val="24"/>
              </w:rPr>
              <w:t xml:space="preserve">PwC’s </w:t>
            </w:r>
            <w:r w:rsidR="002017E3">
              <w:rPr>
                <w:sz w:val="24"/>
                <w:szCs w:val="24"/>
              </w:rPr>
              <w:t xml:space="preserve">annual </w:t>
            </w:r>
            <w:r>
              <w:rPr>
                <w:sz w:val="24"/>
                <w:szCs w:val="24"/>
              </w:rPr>
              <w:t xml:space="preserve">opinions. </w:t>
            </w:r>
          </w:p>
        </w:tc>
      </w:tr>
      <w:tr w:rsidR="002017E3" w:rsidRPr="008A753B" w14:paraId="4E640409" w14:textId="77777777" w:rsidTr="395DEB2E">
        <w:tc>
          <w:tcPr>
            <w:tcW w:w="1844" w:type="dxa"/>
            <w:tcBorders>
              <w:top w:val="single" w:sz="4" w:space="0" w:color="auto"/>
              <w:bottom w:val="single" w:sz="4" w:space="0" w:color="auto"/>
            </w:tcBorders>
          </w:tcPr>
          <w:p w14:paraId="51E05706" w14:textId="679CC1BA" w:rsidR="002017E3" w:rsidRDefault="000151DD">
            <w:pPr>
              <w:spacing w:before="60" w:after="60"/>
              <w:ind w:left="-106" w:right="-108"/>
              <w:rPr>
                <w:sz w:val="24"/>
                <w:szCs w:val="24"/>
              </w:rPr>
            </w:pPr>
            <w:r>
              <w:rPr>
                <w:sz w:val="24"/>
                <w:szCs w:val="24"/>
              </w:rPr>
              <w:t>8.2</w:t>
            </w:r>
          </w:p>
        </w:tc>
        <w:tc>
          <w:tcPr>
            <w:tcW w:w="8226" w:type="dxa"/>
            <w:gridSpan w:val="2"/>
            <w:tcBorders>
              <w:top w:val="single" w:sz="4" w:space="0" w:color="auto"/>
              <w:bottom w:val="single" w:sz="4" w:space="0" w:color="auto"/>
            </w:tcBorders>
          </w:tcPr>
          <w:p w14:paraId="26776B81" w14:textId="20E74A55" w:rsidR="002017E3" w:rsidRDefault="002017E3">
            <w:pPr>
              <w:spacing w:before="60" w:after="60"/>
              <w:rPr>
                <w:sz w:val="24"/>
                <w:szCs w:val="24"/>
              </w:rPr>
            </w:pPr>
            <w:r>
              <w:rPr>
                <w:sz w:val="24"/>
                <w:szCs w:val="24"/>
              </w:rPr>
              <w:t>PwC highlighted an</w:t>
            </w:r>
            <w:bookmarkStart w:id="7" w:name="_Hlk129870051"/>
            <w:r>
              <w:rPr>
                <w:sz w:val="24"/>
                <w:szCs w:val="24"/>
              </w:rPr>
              <w:t xml:space="preserve"> </w:t>
            </w:r>
            <w:r w:rsidR="008E5E7A">
              <w:rPr>
                <w:sz w:val="24"/>
                <w:szCs w:val="24"/>
              </w:rPr>
              <w:t>emerging</w:t>
            </w:r>
            <w:r>
              <w:rPr>
                <w:sz w:val="24"/>
                <w:szCs w:val="24"/>
              </w:rPr>
              <w:t xml:space="preserve"> sector concern/risk related to the use of technology (in particular AI) by </w:t>
            </w:r>
            <w:r w:rsidR="008E5E7A">
              <w:rPr>
                <w:sz w:val="24"/>
                <w:szCs w:val="24"/>
              </w:rPr>
              <w:t>students</w:t>
            </w:r>
            <w:r>
              <w:rPr>
                <w:sz w:val="24"/>
                <w:szCs w:val="24"/>
              </w:rPr>
              <w:t xml:space="preserve"> as part of their studies</w:t>
            </w:r>
            <w:r w:rsidR="008E5E7A">
              <w:rPr>
                <w:sz w:val="24"/>
                <w:szCs w:val="24"/>
              </w:rPr>
              <w:t xml:space="preserve">. The </w:t>
            </w:r>
            <w:r w:rsidR="008E5E7A" w:rsidRPr="008E5E7A">
              <w:rPr>
                <w:color w:val="000000" w:themeColor="text1"/>
                <w:sz w:val="24"/>
                <w:szCs w:val="24"/>
              </w:rPr>
              <w:t>Deputy Vice-Chancellor (Academic)</w:t>
            </w:r>
            <w:r w:rsidR="008E5E7A">
              <w:rPr>
                <w:color w:val="000000" w:themeColor="text1"/>
                <w:sz w:val="24"/>
                <w:szCs w:val="24"/>
              </w:rPr>
              <w:t xml:space="preserve"> noted that this related to the OfS </w:t>
            </w:r>
            <w:r w:rsidR="003D7E5D">
              <w:rPr>
                <w:color w:val="000000" w:themeColor="text1"/>
                <w:sz w:val="24"/>
                <w:szCs w:val="24"/>
              </w:rPr>
              <w:t>C</w:t>
            </w:r>
            <w:r w:rsidR="008E5E7A">
              <w:rPr>
                <w:color w:val="000000" w:themeColor="text1"/>
                <w:sz w:val="24"/>
                <w:szCs w:val="24"/>
              </w:rPr>
              <w:t xml:space="preserve">ondition of Registration B4 which required the University to </w:t>
            </w:r>
            <w:r w:rsidR="008E5E7A" w:rsidRPr="008E5E7A">
              <w:rPr>
                <w:color w:val="000000" w:themeColor="text1"/>
                <w:sz w:val="24"/>
                <w:szCs w:val="24"/>
              </w:rPr>
              <w:t xml:space="preserve">assess students effectively and award qualifications that </w:t>
            </w:r>
            <w:r w:rsidR="00E64189">
              <w:rPr>
                <w:color w:val="000000" w:themeColor="text1"/>
                <w:sz w:val="24"/>
                <w:szCs w:val="24"/>
              </w:rPr>
              <w:t>we</w:t>
            </w:r>
            <w:r w:rsidR="008E5E7A" w:rsidRPr="008E5E7A">
              <w:rPr>
                <w:color w:val="000000" w:themeColor="text1"/>
                <w:sz w:val="24"/>
                <w:szCs w:val="24"/>
              </w:rPr>
              <w:t>re credible</w:t>
            </w:r>
            <w:r w:rsidR="008E5E7A">
              <w:rPr>
                <w:color w:val="000000" w:themeColor="text1"/>
                <w:sz w:val="24"/>
                <w:szCs w:val="24"/>
              </w:rPr>
              <w:t>.</w:t>
            </w:r>
            <w:r w:rsidR="00B90AE2">
              <w:rPr>
                <w:color w:val="000000" w:themeColor="text1"/>
                <w:sz w:val="24"/>
                <w:szCs w:val="24"/>
              </w:rPr>
              <w:t xml:space="preserve"> A sub-group of the Teaching and Learning Committee, the Academic Integrity Steering Group, was developing guidance on the use of AI. This would report to TLC, then Academic Board, then Academic Assurance Committee</w:t>
            </w:r>
            <w:r w:rsidR="00E64189">
              <w:rPr>
                <w:color w:val="000000" w:themeColor="text1"/>
                <w:sz w:val="24"/>
                <w:szCs w:val="24"/>
              </w:rPr>
              <w:t>.</w:t>
            </w:r>
            <w:bookmarkEnd w:id="7"/>
          </w:p>
        </w:tc>
      </w:tr>
      <w:tr w:rsidR="002017E3" w:rsidRPr="008A753B" w14:paraId="2BDEB0A5" w14:textId="77777777" w:rsidTr="395DEB2E">
        <w:tc>
          <w:tcPr>
            <w:tcW w:w="1844" w:type="dxa"/>
            <w:tcBorders>
              <w:top w:val="single" w:sz="4" w:space="0" w:color="auto"/>
              <w:bottom w:val="single" w:sz="4" w:space="0" w:color="auto"/>
            </w:tcBorders>
          </w:tcPr>
          <w:p w14:paraId="6C718575" w14:textId="2756F38C" w:rsidR="002017E3" w:rsidRDefault="000151DD">
            <w:pPr>
              <w:spacing w:before="60" w:after="60"/>
              <w:ind w:left="-106" w:right="-108"/>
              <w:rPr>
                <w:sz w:val="24"/>
                <w:szCs w:val="24"/>
              </w:rPr>
            </w:pPr>
            <w:r>
              <w:rPr>
                <w:sz w:val="24"/>
                <w:szCs w:val="24"/>
              </w:rPr>
              <w:t>8.3</w:t>
            </w:r>
          </w:p>
        </w:tc>
        <w:tc>
          <w:tcPr>
            <w:tcW w:w="8226" w:type="dxa"/>
            <w:gridSpan w:val="2"/>
            <w:tcBorders>
              <w:top w:val="single" w:sz="4" w:space="0" w:color="auto"/>
              <w:bottom w:val="single" w:sz="4" w:space="0" w:color="auto"/>
            </w:tcBorders>
          </w:tcPr>
          <w:p w14:paraId="5A19D3C9" w14:textId="23C3B180" w:rsidR="002017E3" w:rsidRDefault="002017E3">
            <w:pPr>
              <w:spacing w:before="60" w:after="60"/>
              <w:rPr>
                <w:sz w:val="24"/>
                <w:szCs w:val="24"/>
              </w:rPr>
            </w:pPr>
            <w:r>
              <w:rPr>
                <w:sz w:val="24"/>
                <w:szCs w:val="24"/>
              </w:rPr>
              <w:t>Colleagues from Grant Thornton</w:t>
            </w:r>
            <w:r w:rsidR="008E5E7A">
              <w:rPr>
                <w:sz w:val="24"/>
                <w:szCs w:val="24"/>
              </w:rPr>
              <w:t xml:space="preserve"> noted that there were changes to audit standards which would apply for the financial year 2022/23. Further details would be </w:t>
            </w:r>
            <w:r w:rsidR="003D7E5D">
              <w:rPr>
                <w:sz w:val="24"/>
                <w:szCs w:val="24"/>
              </w:rPr>
              <w:t>provided</w:t>
            </w:r>
            <w:r w:rsidR="008E5E7A">
              <w:rPr>
                <w:sz w:val="24"/>
                <w:szCs w:val="24"/>
              </w:rPr>
              <w:t xml:space="preserve"> as part of the external audit strategy for </w:t>
            </w:r>
            <w:r w:rsidR="003D7E5D">
              <w:rPr>
                <w:sz w:val="24"/>
                <w:szCs w:val="24"/>
              </w:rPr>
              <w:t>audit</w:t>
            </w:r>
            <w:r w:rsidR="008E5E7A">
              <w:rPr>
                <w:sz w:val="24"/>
                <w:szCs w:val="24"/>
              </w:rPr>
              <w:t xml:space="preserve"> of the </w:t>
            </w:r>
            <w:r w:rsidR="003D7E5D">
              <w:rPr>
                <w:sz w:val="24"/>
                <w:szCs w:val="24"/>
              </w:rPr>
              <w:t>financial</w:t>
            </w:r>
            <w:r w:rsidR="008E5E7A">
              <w:rPr>
                <w:sz w:val="24"/>
                <w:szCs w:val="24"/>
              </w:rPr>
              <w:t xml:space="preserve"> statements for the year ended 31 July 2023 (to be </w:t>
            </w:r>
            <w:r w:rsidR="003D7E5D">
              <w:rPr>
                <w:sz w:val="24"/>
                <w:szCs w:val="24"/>
              </w:rPr>
              <w:t>submitted</w:t>
            </w:r>
            <w:r w:rsidR="008E5E7A">
              <w:rPr>
                <w:sz w:val="24"/>
                <w:szCs w:val="24"/>
              </w:rPr>
              <w:t xml:space="preserve"> to the 20 June 2023 ARC).</w:t>
            </w:r>
          </w:p>
        </w:tc>
      </w:tr>
      <w:tr w:rsidR="00454CB5" w:rsidRPr="008A753B" w14:paraId="7597404E" w14:textId="77777777" w:rsidTr="395DEB2E">
        <w:trPr>
          <w:cantSplit/>
        </w:trPr>
        <w:tc>
          <w:tcPr>
            <w:tcW w:w="1844" w:type="dxa"/>
            <w:tcBorders>
              <w:top w:val="single" w:sz="4" w:space="0" w:color="auto"/>
              <w:bottom w:val="single" w:sz="4" w:space="0" w:color="auto"/>
            </w:tcBorders>
            <w:shd w:val="clear" w:color="auto" w:fill="D9D9D9" w:themeFill="background1" w:themeFillShade="D9"/>
          </w:tcPr>
          <w:p w14:paraId="6A21C9BE" w14:textId="617B0476" w:rsidR="00454CB5" w:rsidRPr="00826269" w:rsidRDefault="00454CB5" w:rsidP="00454CB5">
            <w:pPr>
              <w:pStyle w:val="Heading3"/>
              <w:spacing w:before="60" w:after="60"/>
              <w:ind w:left="-106" w:right="-108"/>
              <w:rPr>
                <w:sz w:val="20"/>
                <w:szCs w:val="20"/>
              </w:rPr>
            </w:pPr>
            <w:r w:rsidRPr="009C163A">
              <w:t>ARC/202</w:t>
            </w:r>
            <w:r>
              <w:t>3</w:t>
            </w:r>
            <w:r w:rsidRPr="009C163A">
              <w:t>-</w:t>
            </w:r>
            <w:r>
              <w:t>03-09</w:t>
            </w:r>
            <w:r w:rsidRPr="009C163A">
              <w:t>/</w:t>
            </w:r>
            <w:r>
              <w:t>9</w:t>
            </w:r>
          </w:p>
        </w:tc>
        <w:tc>
          <w:tcPr>
            <w:tcW w:w="6379" w:type="dxa"/>
            <w:tcBorders>
              <w:top w:val="single" w:sz="4" w:space="0" w:color="auto"/>
              <w:bottom w:val="single" w:sz="4" w:space="0" w:color="auto"/>
            </w:tcBorders>
            <w:shd w:val="clear" w:color="auto" w:fill="D9D9D9" w:themeFill="background1" w:themeFillShade="D9"/>
          </w:tcPr>
          <w:p w14:paraId="476701F3" w14:textId="77777777" w:rsidR="00454CB5" w:rsidRPr="000E4243" w:rsidRDefault="00454CB5" w:rsidP="00454CB5">
            <w:pPr>
              <w:rPr>
                <w:b/>
                <w:bCs/>
                <w:sz w:val="24"/>
                <w:szCs w:val="24"/>
              </w:rPr>
            </w:pPr>
            <w:r w:rsidRPr="000E4243">
              <w:rPr>
                <w:b/>
                <w:bCs/>
                <w:sz w:val="24"/>
                <w:szCs w:val="24"/>
              </w:rPr>
              <w:t>INTERNAL AUDIT PROGRESS REPORT 2022/23</w:t>
            </w:r>
          </w:p>
          <w:p w14:paraId="2D456700" w14:textId="04C6A321" w:rsidR="00454CB5" w:rsidRPr="005326E1" w:rsidRDefault="00454CB5" w:rsidP="000E4243"/>
        </w:tc>
        <w:tc>
          <w:tcPr>
            <w:tcW w:w="1847" w:type="dxa"/>
            <w:tcBorders>
              <w:top w:val="single" w:sz="4" w:space="0" w:color="auto"/>
              <w:bottom w:val="single" w:sz="4" w:space="0" w:color="auto"/>
            </w:tcBorders>
            <w:shd w:val="clear" w:color="auto" w:fill="D9D9D9" w:themeFill="background1" w:themeFillShade="D9"/>
          </w:tcPr>
          <w:p w14:paraId="5A8D30D5" w14:textId="6C105DAF" w:rsidR="00454CB5" w:rsidRPr="00454CB5" w:rsidRDefault="00454CB5" w:rsidP="00454CB5">
            <w:pPr>
              <w:jc w:val="right"/>
              <w:rPr>
                <w:sz w:val="18"/>
                <w:szCs w:val="18"/>
              </w:rPr>
            </w:pPr>
            <w:r w:rsidRPr="00454CB5">
              <w:rPr>
                <w:sz w:val="18"/>
                <w:szCs w:val="18"/>
              </w:rPr>
              <w:t>ARC/2023-03-09/</w:t>
            </w:r>
            <w:r w:rsidR="000E4243">
              <w:rPr>
                <w:sz w:val="18"/>
                <w:szCs w:val="18"/>
              </w:rPr>
              <w:t>P8</w:t>
            </w:r>
          </w:p>
        </w:tc>
      </w:tr>
      <w:tr w:rsidR="00454CB5" w:rsidRPr="008A753B" w14:paraId="29012372" w14:textId="77777777" w:rsidTr="395DEB2E">
        <w:tc>
          <w:tcPr>
            <w:tcW w:w="1844" w:type="dxa"/>
            <w:tcBorders>
              <w:top w:val="single" w:sz="4" w:space="0" w:color="auto"/>
              <w:bottom w:val="single" w:sz="4" w:space="0" w:color="auto"/>
            </w:tcBorders>
          </w:tcPr>
          <w:p w14:paraId="468AE3E0" w14:textId="5CAA8154" w:rsidR="00454CB5" w:rsidRPr="008A753B" w:rsidRDefault="00454CB5" w:rsidP="00454CB5">
            <w:pPr>
              <w:spacing w:before="60" w:after="60"/>
              <w:ind w:left="-106" w:right="-108"/>
              <w:rPr>
                <w:sz w:val="24"/>
                <w:szCs w:val="24"/>
              </w:rPr>
            </w:pPr>
            <w:bookmarkStart w:id="8" w:name="_Hlk120105620"/>
            <w:r>
              <w:rPr>
                <w:sz w:val="24"/>
                <w:szCs w:val="24"/>
              </w:rPr>
              <w:t>9</w:t>
            </w:r>
            <w:r w:rsidRPr="008A753B">
              <w:rPr>
                <w:sz w:val="24"/>
                <w:szCs w:val="24"/>
              </w:rPr>
              <w:t>.1</w:t>
            </w:r>
          </w:p>
        </w:tc>
        <w:tc>
          <w:tcPr>
            <w:tcW w:w="8226" w:type="dxa"/>
            <w:gridSpan w:val="2"/>
            <w:tcBorders>
              <w:top w:val="single" w:sz="4" w:space="0" w:color="auto"/>
              <w:bottom w:val="single" w:sz="4" w:space="0" w:color="auto"/>
            </w:tcBorders>
          </w:tcPr>
          <w:p w14:paraId="0B3D4834" w14:textId="5D838222" w:rsidR="000E4243" w:rsidRPr="000E4243" w:rsidRDefault="000E4243" w:rsidP="000E4243">
            <w:pPr>
              <w:rPr>
                <w:sz w:val="24"/>
                <w:szCs w:val="24"/>
              </w:rPr>
            </w:pPr>
            <w:r w:rsidRPr="000E4243">
              <w:rPr>
                <w:sz w:val="24"/>
                <w:szCs w:val="24"/>
              </w:rPr>
              <w:t xml:space="preserve">The Committee </w:t>
            </w:r>
            <w:r>
              <w:rPr>
                <w:sz w:val="24"/>
                <w:szCs w:val="24"/>
              </w:rPr>
              <w:t xml:space="preserve">received a report on progress with the 2022/23 internal audit programme </w:t>
            </w:r>
            <w:r w:rsidR="0065098A">
              <w:rPr>
                <w:sz w:val="24"/>
                <w:szCs w:val="24"/>
              </w:rPr>
              <w:t xml:space="preserve">and </w:t>
            </w:r>
            <w:r w:rsidRPr="000E4243">
              <w:rPr>
                <w:sz w:val="24"/>
                <w:szCs w:val="24"/>
              </w:rPr>
              <w:t>noted the following:</w:t>
            </w:r>
          </w:p>
          <w:p w14:paraId="05585B85" w14:textId="19F66553" w:rsidR="00454CB5" w:rsidRPr="004D18C3" w:rsidRDefault="004D18C3" w:rsidP="004D18C3">
            <w:pPr>
              <w:pStyle w:val="ListParagraph"/>
              <w:numPr>
                <w:ilvl w:val="0"/>
                <w:numId w:val="28"/>
              </w:numPr>
              <w:rPr>
                <w:sz w:val="24"/>
                <w:szCs w:val="24"/>
              </w:rPr>
            </w:pPr>
            <w:r>
              <w:rPr>
                <w:sz w:val="24"/>
                <w:szCs w:val="24"/>
              </w:rPr>
              <w:t>t</w:t>
            </w:r>
            <w:r w:rsidR="000E4243" w:rsidRPr="004D18C3">
              <w:rPr>
                <w:sz w:val="24"/>
                <w:szCs w:val="24"/>
              </w:rPr>
              <w:t>he final report on the financial controls P2P audit would shortly be issued;</w:t>
            </w:r>
          </w:p>
          <w:p w14:paraId="59B78C3A" w14:textId="537C41CC" w:rsidR="000E4243" w:rsidRPr="004D18C3" w:rsidRDefault="004D18C3" w:rsidP="004D18C3">
            <w:pPr>
              <w:pStyle w:val="ListParagraph"/>
              <w:numPr>
                <w:ilvl w:val="0"/>
                <w:numId w:val="28"/>
              </w:numPr>
              <w:rPr>
                <w:sz w:val="24"/>
                <w:szCs w:val="24"/>
              </w:rPr>
            </w:pPr>
            <w:r>
              <w:rPr>
                <w:sz w:val="24"/>
                <w:szCs w:val="24"/>
              </w:rPr>
              <w:t>t</w:t>
            </w:r>
            <w:r w:rsidR="000E4243" w:rsidRPr="004D18C3">
              <w:rPr>
                <w:sz w:val="24"/>
                <w:szCs w:val="24"/>
              </w:rPr>
              <w:t>here had been no changes to the plan since the last meeting of ARC;</w:t>
            </w:r>
          </w:p>
          <w:p w14:paraId="00D2FC1E" w14:textId="63E7EE62" w:rsidR="000E4243" w:rsidRPr="004D18C3" w:rsidRDefault="004D18C3" w:rsidP="004D18C3">
            <w:pPr>
              <w:pStyle w:val="ListParagraph"/>
              <w:numPr>
                <w:ilvl w:val="0"/>
                <w:numId w:val="28"/>
              </w:numPr>
              <w:rPr>
                <w:sz w:val="24"/>
                <w:szCs w:val="24"/>
              </w:rPr>
            </w:pPr>
            <w:r>
              <w:rPr>
                <w:sz w:val="24"/>
                <w:szCs w:val="24"/>
              </w:rPr>
              <w:t>t</w:t>
            </w:r>
            <w:r w:rsidR="000E4243" w:rsidRPr="004D18C3">
              <w:rPr>
                <w:sz w:val="24"/>
                <w:szCs w:val="24"/>
              </w:rPr>
              <w:t xml:space="preserve">he report </w:t>
            </w:r>
            <w:r w:rsidRPr="004D18C3">
              <w:rPr>
                <w:sz w:val="24"/>
                <w:szCs w:val="24"/>
              </w:rPr>
              <w:t>provided</w:t>
            </w:r>
            <w:r w:rsidR="000E4243" w:rsidRPr="004D18C3">
              <w:rPr>
                <w:sz w:val="24"/>
                <w:szCs w:val="24"/>
              </w:rPr>
              <w:t xml:space="preserve"> an update on progress to </w:t>
            </w:r>
            <w:r w:rsidRPr="004D18C3">
              <w:rPr>
                <w:sz w:val="24"/>
                <w:szCs w:val="24"/>
              </w:rPr>
              <w:t>implement</w:t>
            </w:r>
            <w:r w:rsidR="000E4243" w:rsidRPr="004D18C3">
              <w:rPr>
                <w:sz w:val="24"/>
                <w:szCs w:val="24"/>
              </w:rPr>
              <w:t xml:space="preserve"> previous internal </w:t>
            </w:r>
            <w:r w:rsidRPr="004D18C3">
              <w:rPr>
                <w:sz w:val="24"/>
                <w:szCs w:val="24"/>
              </w:rPr>
              <w:t>audit</w:t>
            </w:r>
            <w:r w:rsidR="000E4243" w:rsidRPr="004D18C3">
              <w:rPr>
                <w:sz w:val="24"/>
                <w:szCs w:val="24"/>
              </w:rPr>
              <w:t xml:space="preserve"> recommendations (from KPMG’s </w:t>
            </w:r>
            <w:r w:rsidRPr="004D18C3">
              <w:rPr>
                <w:sz w:val="24"/>
                <w:szCs w:val="24"/>
              </w:rPr>
              <w:t>reports</w:t>
            </w:r>
            <w:r w:rsidR="000E4243" w:rsidRPr="004D18C3">
              <w:rPr>
                <w:sz w:val="24"/>
                <w:szCs w:val="24"/>
              </w:rPr>
              <w:t xml:space="preserve">). There had been some cases where managers had marked an action as ‘complete, for IA review’ but had not provided evidence for PwC to review to verify that the action could be closed. This was thought to be due to </w:t>
            </w:r>
            <w:r>
              <w:rPr>
                <w:sz w:val="24"/>
                <w:szCs w:val="24"/>
              </w:rPr>
              <w:t xml:space="preserve">managers getting used to the new system whereby internal audit reviewed evidence when an action was </w:t>
            </w:r>
            <w:r w:rsidR="0065098A">
              <w:rPr>
                <w:sz w:val="24"/>
                <w:szCs w:val="24"/>
              </w:rPr>
              <w:t>m</w:t>
            </w:r>
            <w:r>
              <w:rPr>
                <w:sz w:val="24"/>
                <w:szCs w:val="24"/>
              </w:rPr>
              <w:t>arked as complete (rather than evidence being audited as part of a summer follow-up audit of all outstanding actions)</w:t>
            </w:r>
            <w:r w:rsidR="00926B34">
              <w:rPr>
                <w:sz w:val="24"/>
                <w:szCs w:val="24"/>
              </w:rPr>
              <w:t xml:space="preserve">. It was noted that work was planned </w:t>
            </w:r>
            <w:r w:rsidR="00D76294">
              <w:rPr>
                <w:sz w:val="24"/>
                <w:szCs w:val="24"/>
              </w:rPr>
              <w:t xml:space="preserve">by PwC and GLSR </w:t>
            </w:r>
            <w:r w:rsidR="00926B34">
              <w:rPr>
                <w:sz w:val="24"/>
                <w:szCs w:val="24"/>
              </w:rPr>
              <w:t>to improve understanding of, and engagement with, the new process.</w:t>
            </w:r>
          </w:p>
          <w:p w14:paraId="0886BE9C" w14:textId="77777777" w:rsidR="004D18C3" w:rsidRPr="004D18C3" w:rsidRDefault="004D18C3" w:rsidP="004D18C3">
            <w:pPr>
              <w:pStyle w:val="ListParagraph"/>
              <w:numPr>
                <w:ilvl w:val="0"/>
                <w:numId w:val="28"/>
              </w:numPr>
              <w:rPr>
                <w:color w:val="000000" w:themeColor="text1"/>
                <w:sz w:val="24"/>
                <w:szCs w:val="24"/>
              </w:rPr>
            </w:pPr>
            <w:r w:rsidRPr="004D18C3">
              <w:rPr>
                <w:color w:val="000000" w:themeColor="text1"/>
                <w:sz w:val="24"/>
                <w:szCs w:val="24"/>
              </w:rPr>
              <w:t>that UEB on 28 February 2023 had approved the manager requested revised deadlines for 13 overdue recommendations noted in appendix B;</w:t>
            </w:r>
          </w:p>
          <w:p w14:paraId="5954E5CF" w14:textId="21DD7BDE" w:rsidR="004D18C3" w:rsidRPr="004D18C3" w:rsidRDefault="004D18C3" w:rsidP="004D18C3">
            <w:pPr>
              <w:pStyle w:val="ListParagraph"/>
              <w:numPr>
                <w:ilvl w:val="0"/>
                <w:numId w:val="28"/>
              </w:numPr>
              <w:rPr>
                <w:sz w:val="24"/>
                <w:szCs w:val="24"/>
              </w:rPr>
            </w:pPr>
            <w:r w:rsidRPr="004D18C3">
              <w:rPr>
                <w:color w:val="000000" w:themeColor="text1"/>
                <w:sz w:val="24"/>
                <w:szCs w:val="24"/>
              </w:rPr>
              <w:t>UEB would monitor requests for extended deadlines going forward to ensure that requests were reasonable.</w:t>
            </w:r>
            <w:r w:rsidR="00A7167A">
              <w:rPr>
                <w:color w:val="000000" w:themeColor="text1"/>
                <w:sz w:val="24"/>
                <w:szCs w:val="24"/>
              </w:rPr>
              <w:t xml:space="preserve"> A member asked for the commentary to explain the reason for the deadline extension request (which was provided to UEB in the report to the meeting on 28 February 2023) to be </w:t>
            </w:r>
            <w:r w:rsidR="008D3A75">
              <w:rPr>
                <w:color w:val="000000" w:themeColor="text1"/>
                <w:sz w:val="24"/>
                <w:szCs w:val="24"/>
              </w:rPr>
              <w:t>provided</w:t>
            </w:r>
            <w:r w:rsidR="00A7167A">
              <w:rPr>
                <w:color w:val="000000" w:themeColor="text1"/>
                <w:sz w:val="24"/>
                <w:szCs w:val="24"/>
              </w:rPr>
              <w:t xml:space="preserve"> as part of the report to the ARC</w:t>
            </w:r>
            <w:r w:rsidR="00D76294">
              <w:rPr>
                <w:color w:val="000000" w:themeColor="text1"/>
                <w:sz w:val="24"/>
                <w:szCs w:val="24"/>
              </w:rPr>
              <w:t>.</w:t>
            </w:r>
          </w:p>
        </w:tc>
      </w:tr>
      <w:bookmarkEnd w:id="8"/>
      <w:tr w:rsidR="00454CB5" w:rsidRPr="008A753B" w14:paraId="7A11C147" w14:textId="77777777" w:rsidTr="395DEB2E">
        <w:trPr>
          <w:cantSplit/>
        </w:trPr>
        <w:tc>
          <w:tcPr>
            <w:tcW w:w="1844" w:type="dxa"/>
            <w:tcBorders>
              <w:top w:val="single" w:sz="4" w:space="0" w:color="auto"/>
              <w:bottom w:val="single" w:sz="4" w:space="0" w:color="auto"/>
            </w:tcBorders>
            <w:shd w:val="clear" w:color="auto" w:fill="D9D9D9" w:themeFill="background1" w:themeFillShade="D9"/>
          </w:tcPr>
          <w:p w14:paraId="683C6603" w14:textId="1D452006" w:rsidR="00454CB5" w:rsidRPr="00826269" w:rsidRDefault="00454CB5" w:rsidP="00454CB5">
            <w:pPr>
              <w:pStyle w:val="Heading3"/>
              <w:spacing w:before="60" w:after="60"/>
              <w:ind w:left="-106" w:right="-108"/>
              <w:rPr>
                <w:sz w:val="20"/>
                <w:szCs w:val="20"/>
              </w:rPr>
            </w:pPr>
            <w:r w:rsidRPr="009C163A">
              <w:lastRenderedPageBreak/>
              <w:t>ARC/202</w:t>
            </w:r>
            <w:r>
              <w:t>3</w:t>
            </w:r>
            <w:r w:rsidRPr="009C163A">
              <w:t>-</w:t>
            </w:r>
            <w:r>
              <w:t>03-09</w:t>
            </w:r>
            <w:r w:rsidRPr="009C163A">
              <w:t>/</w:t>
            </w:r>
            <w:r>
              <w:t>10</w:t>
            </w:r>
          </w:p>
        </w:tc>
        <w:tc>
          <w:tcPr>
            <w:tcW w:w="6379" w:type="dxa"/>
            <w:tcBorders>
              <w:top w:val="single" w:sz="4" w:space="0" w:color="auto"/>
              <w:bottom w:val="single" w:sz="4" w:space="0" w:color="auto"/>
            </w:tcBorders>
            <w:shd w:val="clear" w:color="auto" w:fill="D9D9D9" w:themeFill="background1" w:themeFillShade="D9"/>
          </w:tcPr>
          <w:p w14:paraId="5B280BDF" w14:textId="77777777" w:rsidR="00454CB5" w:rsidRPr="000E4243" w:rsidRDefault="00454CB5" w:rsidP="00454CB5">
            <w:pPr>
              <w:rPr>
                <w:b/>
                <w:bCs/>
                <w:sz w:val="24"/>
                <w:szCs w:val="24"/>
              </w:rPr>
            </w:pPr>
            <w:r w:rsidRPr="000E4243">
              <w:rPr>
                <w:b/>
                <w:bCs/>
                <w:sz w:val="24"/>
                <w:szCs w:val="24"/>
              </w:rPr>
              <w:t>INTERNAL AUDIT PROGRESS REPORT 2022/23</w:t>
            </w:r>
          </w:p>
          <w:p w14:paraId="70226D0F" w14:textId="1C7CF70A" w:rsidR="00454CB5" w:rsidRPr="008A753B" w:rsidRDefault="00454CB5" w:rsidP="00454CB5">
            <w:pPr>
              <w:pStyle w:val="Heading2"/>
              <w:numPr>
                <w:ilvl w:val="0"/>
                <w:numId w:val="23"/>
              </w:numPr>
              <w:ind w:left="29" w:hanging="1080"/>
            </w:pPr>
            <w:proofErr w:type="spellStart"/>
            <w:r>
              <w:rPr>
                <w:bCs/>
              </w:rPr>
              <w:t>i</w:t>
            </w:r>
            <w:proofErr w:type="spellEnd"/>
            <w:r>
              <w:rPr>
                <w:bCs/>
              </w:rPr>
              <w:t>.</w:t>
            </w:r>
            <w:r w:rsidR="000E4243">
              <w:rPr>
                <w:bCs/>
              </w:rPr>
              <w:tab/>
            </w:r>
            <w:r w:rsidR="000E4243" w:rsidRPr="00CF3484">
              <w:rPr>
                <w:rFonts w:eastAsia="Times New Roman"/>
                <w:bCs/>
                <w:caps/>
              </w:rPr>
              <w:t>Sector Regulation and Compliance: OfS B Conditions</w:t>
            </w:r>
          </w:p>
        </w:tc>
        <w:tc>
          <w:tcPr>
            <w:tcW w:w="1847" w:type="dxa"/>
            <w:tcBorders>
              <w:top w:val="single" w:sz="4" w:space="0" w:color="auto"/>
              <w:bottom w:val="single" w:sz="4" w:space="0" w:color="auto"/>
            </w:tcBorders>
            <w:shd w:val="clear" w:color="auto" w:fill="D9D9D9" w:themeFill="background1" w:themeFillShade="D9"/>
          </w:tcPr>
          <w:p w14:paraId="73BECED5" w14:textId="4DCA9011" w:rsidR="00454CB5" w:rsidRPr="00CC16EB" w:rsidRDefault="00454CB5" w:rsidP="00454CB5">
            <w:pPr>
              <w:pStyle w:val="Heading3"/>
              <w:spacing w:before="60" w:after="60"/>
              <w:ind w:left="-113" w:right="-109"/>
              <w:jc w:val="right"/>
            </w:pPr>
            <w:r w:rsidRPr="009C163A">
              <w:t>ARC/202</w:t>
            </w:r>
            <w:r>
              <w:t>3</w:t>
            </w:r>
            <w:r w:rsidRPr="009C163A">
              <w:t>-</w:t>
            </w:r>
            <w:r>
              <w:t>03-09/</w:t>
            </w:r>
            <w:r w:rsidR="000E4243">
              <w:t>P8i</w:t>
            </w:r>
          </w:p>
        </w:tc>
      </w:tr>
      <w:tr w:rsidR="00454CB5" w:rsidRPr="008A753B" w14:paraId="02A97477" w14:textId="77777777" w:rsidTr="395DEB2E">
        <w:tc>
          <w:tcPr>
            <w:tcW w:w="1844" w:type="dxa"/>
            <w:tcBorders>
              <w:top w:val="single" w:sz="4" w:space="0" w:color="auto"/>
              <w:bottom w:val="single" w:sz="4" w:space="0" w:color="auto"/>
            </w:tcBorders>
          </w:tcPr>
          <w:p w14:paraId="1630C365" w14:textId="6ACFEA49" w:rsidR="00454CB5" w:rsidRPr="008A753B" w:rsidRDefault="00454CB5" w:rsidP="00454CB5">
            <w:pPr>
              <w:spacing w:before="60" w:after="60"/>
              <w:ind w:left="-106" w:right="-108"/>
              <w:rPr>
                <w:sz w:val="24"/>
                <w:szCs w:val="24"/>
              </w:rPr>
            </w:pPr>
            <w:r>
              <w:rPr>
                <w:sz w:val="24"/>
                <w:szCs w:val="24"/>
              </w:rPr>
              <w:t>10</w:t>
            </w:r>
            <w:r w:rsidRPr="008A753B">
              <w:rPr>
                <w:sz w:val="24"/>
                <w:szCs w:val="24"/>
              </w:rPr>
              <w:t>.1</w:t>
            </w:r>
          </w:p>
        </w:tc>
        <w:tc>
          <w:tcPr>
            <w:tcW w:w="8226" w:type="dxa"/>
            <w:gridSpan w:val="2"/>
            <w:tcBorders>
              <w:top w:val="single" w:sz="4" w:space="0" w:color="auto"/>
              <w:bottom w:val="single" w:sz="4" w:space="0" w:color="auto"/>
            </w:tcBorders>
          </w:tcPr>
          <w:p w14:paraId="67C4C43E" w14:textId="09AFE35E" w:rsidR="00454CB5" w:rsidRPr="004D18C3" w:rsidRDefault="000E4243" w:rsidP="00454CB5">
            <w:pPr>
              <w:spacing w:before="60" w:after="60"/>
              <w:rPr>
                <w:b/>
                <w:bCs/>
                <w:sz w:val="24"/>
                <w:szCs w:val="24"/>
              </w:rPr>
            </w:pPr>
            <w:r w:rsidRPr="0069595F">
              <w:rPr>
                <w:rFonts w:cstheme="minorHAnsi"/>
                <w:sz w:val="24"/>
              </w:rPr>
              <w:t>The Committee received the</w:t>
            </w:r>
            <w:r>
              <w:rPr>
                <w:rFonts w:cstheme="minorHAnsi"/>
                <w:sz w:val="24"/>
              </w:rPr>
              <w:t xml:space="preserve"> internal audit</w:t>
            </w:r>
            <w:r w:rsidRPr="0069595F">
              <w:rPr>
                <w:rFonts w:cstheme="minorHAnsi"/>
                <w:sz w:val="24"/>
              </w:rPr>
              <w:t xml:space="preserve"> report</w:t>
            </w:r>
            <w:r>
              <w:rPr>
                <w:rFonts w:cstheme="minorHAnsi"/>
                <w:sz w:val="24"/>
              </w:rPr>
              <w:t xml:space="preserve">s on Sector Regulation and Compliance OFS B Conditions </w:t>
            </w:r>
            <w:r w:rsidRPr="0069595F">
              <w:rPr>
                <w:rFonts w:cstheme="minorHAnsi"/>
                <w:sz w:val="24"/>
              </w:rPr>
              <w:t>which had</w:t>
            </w:r>
            <w:r>
              <w:rPr>
                <w:rFonts w:cstheme="minorHAnsi"/>
                <w:sz w:val="24"/>
              </w:rPr>
              <w:t xml:space="preserve"> </w:t>
            </w:r>
            <w:r w:rsidRPr="0069595F">
              <w:rPr>
                <w:rFonts w:cstheme="minorHAnsi"/>
                <w:sz w:val="24"/>
              </w:rPr>
              <w:t xml:space="preserve">been graded as </w:t>
            </w:r>
            <w:r>
              <w:rPr>
                <w:rFonts w:cstheme="minorHAnsi"/>
                <w:sz w:val="24"/>
              </w:rPr>
              <w:t>low risk.</w:t>
            </w:r>
            <w:r w:rsidR="004D18C3">
              <w:rPr>
                <w:rFonts w:cstheme="minorHAnsi"/>
                <w:sz w:val="24"/>
              </w:rPr>
              <w:t xml:space="preserve"> It was noted that the review considered how the University gained assurance </w:t>
            </w:r>
            <w:r w:rsidR="00A7167A">
              <w:rPr>
                <w:rFonts w:cstheme="minorHAnsi"/>
                <w:sz w:val="24"/>
              </w:rPr>
              <w:t>concerning</w:t>
            </w:r>
            <w:r w:rsidR="004D18C3">
              <w:rPr>
                <w:rFonts w:cstheme="minorHAnsi"/>
                <w:sz w:val="24"/>
              </w:rPr>
              <w:t xml:space="preserve"> compliance with revised B conditions of registration</w:t>
            </w:r>
            <w:r w:rsidR="00A7167A">
              <w:rPr>
                <w:rFonts w:cstheme="minorHAnsi"/>
                <w:sz w:val="24"/>
              </w:rPr>
              <w:t xml:space="preserve"> together with the reporting on key metrics. Two recommendations had been raised (one medium priority and one low priority); the medium priority related to the effectiveness of processes in place around Course Improvement Plans</w:t>
            </w:r>
            <w:r w:rsidR="00D76294">
              <w:rPr>
                <w:rFonts w:cstheme="minorHAnsi"/>
                <w:sz w:val="24"/>
              </w:rPr>
              <w:t>.</w:t>
            </w:r>
          </w:p>
        </w:tc>
      </w:tr>
      <w:tr w:rsidR="00A7167A" w:rsidRPr="008A753B" w14:paraId="36DDE4B0" w14:textId="77777777" w:rsidTr="395DEB2E">
        <w:tc>
          <w:tcPr>
            <w:tcW w:w="1844" w:type="dxa"/>
            <w:tcBorders>
              <w:top w:val="single" w:sz="4" w:space="0" w:color="auto"/>
              <w:bottom w:val="single" w:sz="4" w:space="0" w:color="auto"/>
            </w:tcBorders>
          </w:tcPr>
          <w:p w14:paraId="79379290" w14:textId="4B964B81" w:rsidR="00A7167A" w:rsidRDefault="00926B34" w:rsidP="00454CB5">
            <w:pPr>
              <w:spacing w:before="60" w:after="60"/>
              <w:ind w:left="-106" w:right="-108"/>
              <w:rPr>
                <w:sz w:val="24"/>
                <w:szCs w:val="24"/>
              </w:rPr>
            </w:pPr>
            <w:r>
              <w:rPr>
                <w:sz w:val="24"/>
                <w:szCs w:val="24"/>
              </w:rPr>
              <w:t>10.2</w:t>
            </w:r>
          </w:p>
        </w:tc>
        <w:tc>
          <w:tcPr>
            <w:tcW w:w="8226" w:type="dxa"/>
            <w:gridSpan w:val="2"/>
            <w:tcBorders>
              <w:top w:val="single" w:sz="4" w:space="0" w:color="auto"/>
              <w:bottom w:val="single" w:sz="4" w:space="0" w:color="auto"/>
            </w:tcBorders>
          </w:tcPr>
          <w:p w14:paraId="63FE8915" w14:textId="33D130C8" w:rsidR="00A7167A" w:rsidRPr="0069595F" w:rsidRDefault="00A7167A" w:rsidP="00454CB5">
            <w:pPr>
              <w:spacing w:before="60" w:after="60"/>
              <w:rPr>
                <w:rFonts w:cstheme="minorHAnsi"/>
                <w:sz w:val="24"/>
              </w:rPr>
            </w:pPr>
            <w:r>
              <w:rPr>
                <w:rFonts w:cstheme="minorHAnsi"/>
                <w:sz w:val="24"/>
              </w:rPr>
              <w:t xml:space="preserve">The DVCA welcomed the report and noted that the scope of the audit had been </w:t>
            </w:r>
            <w:r w:rsidR="0065098A">
              <w:rPr>
                <w:rFonts w:cstheme="minorHAnsi"/>
                <w:sz w:val="24"/>
              </w:rPr>
              <w:t xml:space="preserve">primarily focussed on </w:t>
            </w:r>
            <w:r>
              <w:rPr>
                <w:rFonts w:cstheme="minorHAnsi"/>
                <w:sz w:val="24"/>
              </w:rPr>
              <w:t>condition B3. There was a governance group in place which considered compliance with all of the B conditions.</w:t>
            </w:r>
          </w:p>
        </w:tc>
      </w:tr>
      <w:tr w:rsidR="00926B34" w:rsidRPr="008A753B" w14:paraId="390A434A" w14:textId="77777777" w:rsidTr="395DEB2E">
        <w:tc>
          <w:tcPr>
            <w:tcW w:w="1844" w:type="dxa"/>
            <w:tcBorders>
              <w:top w:val="single" w:sz="4" w:space="0" w:color="auto"/>
              <w:bottom w:val="single" w:sz="4" w:space="0" w:color="auto"/>
            </w:tcBorders>
          </w:tcPr>
          <w:p w14:paraId="245F3A7B" w14:textId="740F0686" w:rsidR="00926B34" w:rsidRDefault="00926B34" w:rsidP="00454CB5">
            <w:pPr>
              <w:spacing w:before="60" w:after="60"/>
              <w:ind w:left="-106" w:right="-108"/>
              <w:rPr>
                <w:sz w:val="24"/>
                <w:szCs w:val="24"/>
              </w:rPr>
            </w:pPr>
            <w:r>
              <w:rPr>
                <w:sz w:val="24"/>
                <w:szCs w:val="24"/>
              </w:rPr>
              <w:t>10.3</w:t>
            </w:r>
          </w:p>
        </w:tc>
        <w:tc>
          <w:tcPr>
            <w:tcW w:w="8226" w:type="dxa"/>
            <w:gridSpan w:val="2"/>
            <w:tcBorders>
              <w:top w:val="single" w:sz="4" w:space="0" w:color="auto"/>
              <w:bottom w:val="single" w:sz="4" w:space="0" w:color="auto"/>
            </w:tcBorders>
          </w:tcPr>
          <w:p w14:paraId="745341A5" w14:textId="5CD85A01" w:rsidR="00926B34" w:rsidRDefault="00926B34" w:rsidP="00454CB5">
            <w:pPr>
              <w:spacing w:before="60" w:after="60"/>
              <w:rPr>
                <w:rFonts w:cstheme="minorHAnsi"/>
                <w:sz w:val="24"/>
              </w:rPr>
            </w:pPr>
            <w:r>
              <w:rPr>
                <w:rFonts w:cstheme="minorHAnsi"/>
                <w:sz w:val="24"/>
              </w:rPr>
              <w:t>The internal audit report would be considered by the Academic Assurance Committee.</w:t>
            </w:r>
          </w:p>
        </w:tc>
      </w:tr>
      <w:tr w:rsidR="00A7167A" w:rsidRPr="008A753B" w14:paraId="34FA21B6" w14:textId="77777777" w:rsidTr="395DEB2E">
        <w:tc>
          <w:tcPr>
            <w:tcW w:w="1844" w:type="dxa"/>
            <w:tcBorders>
              <w:top w:val="single" w:sz="4" w:space="0" w:color="auto"/>
              <w:bottom w:val="single" w:sz="4" w:space="0" w:color="auto"/>
            </w:tcBorders>
          </w:tcPr>
          <w:p w14:paraId="01B54564" w14:textId="0F2E37D2" w:rsidR="00A7167A" w:rsidRDefault="00A7167A" w:rsidP="00454CB5">
            <w:pPr>
              <w:spacing w:before="60" w:after="60"/>
              <w:ind w:left="-106" w:right="-108"/>
              <w:rPr>
                <w:sz w:val="24"/>
                <w:szCs w:val="24"/>
              </w:rPr>
            </w:pPr>
            <w:r>
              <w:rPr>
                <w:sz w:val="24"/>
                <w:szCs w:val="24"/>
              </w:rPr>
              <w:t>10.</w:t>
            </w:r>
            <w:r w:rsidR="00926B34">
              <w:rPr>
                <w:sz w:val="24"/>
                <w:szCs w:val="24"/>
              </w:rPr>
              <w:t>4</w:t>
            </w:r>
          </w:p>
        </w:tc>
        <w:tc>
          <w:tcPr>
            <w:tcW w:w="8226" w:type="dxa"/>
            <w:gridSpan w:val="2"/>
            <w:tcBorders>
              <w:top w:val="single" w:sz="4" w:space="0" w:color="auto"/>
              <w:bottom w:val="single" w:sz="4" w:space="0" w:color="auto"/>
            </w:tcBorders>
          </w:tcPr>
          <w:p w14:paraId="2233B6D7" w14:textId="1D6B2920" w:rsidR="00A7167A" w:rsidRPr="0069595F" w:rsidRDefault="00A7167A" w:rsidP="00454CB5">
            <w:pPr>
              <w:spacing w:before="60" w:after="60"/>
              <w:rPr>
                <w:rFonts w:cstheme="minorHAnsi"/>
                <w:sz w:val="24"/>
              </w:rPr>
            </w:pPr>
            <w:r>
              <w:rPr>
                <w:rFonts w:cstheme="minorHAnsi"/>
                <w:sz w:val="24"/>
              </w:rPr>
              <w:t>Feedback on the structure and format of the internal audit report was welcome.</w:t>
            </w:r>
          </w:p>
        </w:tc>
      </w:tr>
      <w:tr w:rsidR="00454CB5" w:rsidRPr="008A753B" w14:paraId="4E71B47B" w14:textId="77777777" w:rsidTr="395DEB2E">
        <w:trPr>
          <w:cantSplit/>
        </w:trPr>
        <w:tc>
          <w:tcPr>
            <w:tcW w:w="1844" w:type="dxa"/>
            <w:tcBorders>
              <w:top w:val="single" w:sz="4" w:space="0" w:color="auto"/>
              <w:bottom w:val="single" w:sz="4" w:space="0" w:color="auto"/>
            </w:tcBorders>
            <w:shd w:val="clear" w:color="auto" w:fill="D9D9D9" w:themeFill="background1" w:themeFillShade="D9"/>
          </w:tcPr>
          <w:p w14:paraId="1A50D14C" w14:textId="6F0C07F6" w:rsidR="00454CB5" w:rsidRPr="00826269" w:rsidRDefault="00454CB5" w:rsidP="00454CB5">
            <w:pPr>
              <w:pStyle w:val="Heading3"/>
              <w:spacing w:before="60" w:after="60"/>
              <w:ind w:left="-106" w:right="-108"/>
              <w:rPr>
                <w:sz w:val="20"/>
                <w:szCs w:val="20"/>
              </w:rPr>
            </w:pPr>
            <w:r w:rsidRPr="009C163A">
              <w:t>ARC/202</w:t>
            </w:r>
            <w:r>
              <w:t>3</w:t>
            </w:r>
            <w:r w:rsidRPr="009C163A">
              <w:t>-</w:t>
            </w:r>
            <w:r>
              <w:t>03-09/11</w:t>
            </w:r>
          </w:p>
        </w:tc>
        <w:tc>
          <w:tcPr>
            <w:tcW w:w="6379" w:type="dxa"/>
            <w:tcBorders>
              <w:top w:val="single" w:sz="4" w:space="0" w:color="auto"/>
              <w:bottom w:val="single" w:sz="4" w:space="0" w:color="auto"/>
            </w:tcBorders>
            <w:shd w:val="clear" w:color="auto" w:fill="D9D9D9" w:themeFill="background1" w:themeFillShade="D9"/>
          </w:tcPr>
          <w:p w14:paraId="297A0D74" w14:textId="2A54C146" w:rsidR="00454CB5" w:rsidRPr="000E4243" w:rsidRDefault="00454CB5" w:rsidP="00454CB5">
            <w:pPr>
              <w:pStyle w:val="ListParagraph"/>
              <w:ind w:left="30"/>
              <w:rPr>
                <w:b/>
                <w:bCs/>
                <w:sz w:val="24"/>
                <w:szCs w:val="24"/>
              </w:rPr>
            </w:pPr>
            <w:r w:rsidRPr="000E4243">
              <w:rPr>
                <w:b/>
                <w:bCs/>
                <w:sz w:val="24"/>
                <w:szCs w:val="24"/>
              </w:rPr>
              <w:t>ANNUAL PERFORMANCE REVIEW OF EXTERNAL AUDIT</w:t>
            </w:r>
          </w:p>
        </w:tc>
        <w:tc>
          <w:tcPr>
            <w:tcW w:w="1847" w:type="dxa"/>
            <w:tcBorders>
              <w:top w:val="single" w:sz="4" w:space="0" w:color="auto"/>
              <w:bottom w:val="single" w:sz="4" w:space="0" w:color="auto"/>
            </w:tcBorders>
            <w:shd w:val="clear" w:color="auto" w:fill="D9D9D9" w:themeFill="background1" w:themeFillShade="D9"/>
          </w:tcPr>
          <w:p w14:paraId="38993F7C" w14:textId="6CE62A09" w:rsidR="00FA2A30" w:rsidRDefault="00454CB5" w:rsidP="00454CB5">
            <w:pPr>
              <w:pStyle w:val="Heading3"/>
              <w:spacing w:before="60" w:after="60"/>
              <w:ind w:left="-113" w:right="-109"/>
              <w:jc w:val="right"/>
            </w:pPr>
            <w:r w:rsidRPr="009C163A">
              <w:t>ARC/202</w:t>
            </w:r>
            <w:r>
              <w:t>3</w:t>
            </w:r>
            <w:r w:rsidRPr="009C163A">
              <w:t>-</w:t>
            </w:r>
            <w:r>
              <w:t>03-09</w:t>
            </w:r>
            <w:r w:rsidRPr="009C163A">
              <w:t>/</w:t>
            </w:r>
            <w:r w:rsidR="00C75E13">
              <w:t>P9</w:t>
            </w:r>
          </w:p>
          <w:p w14:paraId="4A62E17F" w14:textId="5385EBBC" w:rsidR="00454CB5" w:rsidRPr="00CC16EB" w:rsidRDefault="00FA2A30" w:rsidP="00454CB5">
            <w:pPr>
              <w:pStyle w:val="Heading3"/>
              <w:spacing w:before="60" w:after="60"/>
              <w:ind w:left="-113" w:right="-109"/>
              <w:jc w:val="right"/>
            </w:pPr>
            <w:r>
              <w:t>CONFIDENTIAL</w:t>
            </w:r>
            <w:r w:rsidR="00454CB5">
              <w:t xml:space="preserve">   </w:t>
            </w:r>
          </w:p>
        </w:tc>
      </w:tr>
      <w:tr w:rsidR="00454CB5" w:rsidRPr="008A753B" w14:paraId="153490AE" w14:textId="77777777" w:rsidTr="395DEB2E">
        <w:tc>
          <w:tcPr>
            <w:tcW w:w="1844" w:type="dxa"/>
            <w:tcBorders>
              <w:top w:val="single" w:sz="4" w:space="0" w:color="auto"/>
              <w:bottom w:val="single" w:sz="4" w:space="0" w:color="auto"/>
            </w:tcBorders>
          </w:tcPr>
          <w:p w14:paraId="7B25A95F" w14:textId="333D1E03" w:rsidR="00454CB5" w:rsidRPr="008A753B" w:rsidRDefault="00454CB5" w:rsidP="00454CB5">
            <w:pPr>
              <w:spacing w:before="60" w:after="60"/>
              <w:ind w:left="-106" w:right="-108"/>
              <w:rPr>
                <w:sz w:val="24"/>
                <w:szCs w:val="24"/>
              </w:rPr>
            </w:pPr>
            <w:r>
              <w:rPr>
                <w:sz w:val="24"/>
                <w:szCs w:val="24"/>
              </w:rPr>
              <w:t>11</w:t>
            </w:r>
            <w:r w:rsidRPr="008A753B">
              <w:rPr>
                <w:sz w:val="24"/>
                <w:szCs w:val="24"/>
              </w:rPr>
              <w:t>.1</w:t>
            </w:r>
          </w:p>
        </w:tc>
        <w:tc>
          <w:tcPr>
            <w:tcW w:w="8226" w:type="dxa"/>
            <w:gridSpan w:val="2"/>
            <w:tcBorders>
              <w:top w:val="single" w:sz="4" w:space="0" w:color="auto"/>
              <w:bottom w:val="single" w:sz="4" w:space="0" w:color="auto"/>
            </w:tcBorders>
          </w:tcPr>
          <w:p w14:paraId="6EDFA7C8" w14:textId="0FD26B93" w:rsidR="00454CB5" w:rsidRPr="008A753B" w:rsidRDefault="008C0CAC" w:rsidP="00454CB5">
            <w:pPr>
              <w:spacing w:before="60" w:after="60"/>
              <w:rPr>
                <w:sz w:val="24"/>
                <w:szCs w:val="24"/>
              </w:rPr>
            </w:pPr>
            <w:r>
              <w:rPr>
                <w:rFonts w:ascii="Calibri" w:eastAsia="Calibri" w:hAnsi="Calibri" w:cs="Calibri"/>
                <w:sz w:val="24"/>
                <w:szCs w:val="24"/>
              </w:rPr>
              <w:t>The Committee noted that a</w:t>
            </w:r>
            <w:r w:rsidRPr="009B3B45">
              <w:rPr>
                <w:rFonts w:ascii="Calibri" w:eastAsia="Calibri" w:hAnsi="Calibri" w:cs="Calibri"/>
                <w:sz w:val="24"/>
                <w:szCs w:val="24"/>
              </w:rPr>
              <w:t xml:space="preserve">t its meeting on </w:t>
            </w:r>
            <w:r w:rsidRPr="008C0CAC">
              <w:rPr>
                <w:rFonts w:ascii="Calibri" w:eastAsia="Calibri" w:hAnsi="Calibri" w:cs="Calibri"/>
                <w:sz w:val="24"/>
                <w:szCs w:val="24"/>
              </w:rPr>
              <w:t>7 December 2021</w:t>
            </w:r>
            <w:r w:rsidRPr="009B3B45">
              <w:rPr>
                <w:rFonts w:ascii="Calibri" w:eastAsia="Calibri" w:hAnsi="Calibri" w:cs="Calibri"/>
                <w:sz w:val="24"/>
                <w:szCs w:val="24"/>
              </w:rPr>
              <w:t xml:space="preserve">, the Board </w:t>
            </w:r>
            <w:r>
              <w:rPr>
                <w:rFonts w:ascii="Calibri" w:eastAsia="Calibri" w:hAnsi="Calibri" w:cs="Calibri"/>
                <w:sz w:val="24"/>
                <w:szCs w:val="24"/>
              </w:rPr>
              <w:t xml:space="preserve">of Governors </w:t>
            </w:r>
            <w:r w:rsidRPr="009B3B45">
              <w:rPr>
                <w:rFonts w:ascii="Calibri" w:eastAsia="Calibri" w:hAnsi="Calibri" w:cs="Calibri"/>
                <w:sz w:val="24"/>
                <w:szCs w:val="24"/>
              </w:rPr>
              <w:t>approved the appointment of Grant Thornton</w:t>
            </w:r>
            <w:r>
              <w:rPr>
                <w:rFonts w:ascii="Calibri" w:eastAsia="Calibri" w:hAnsi="Calibri" w:cs="Calibri"/>
                <w:sz w:val="24"/>
                <w:szCs w:val="24"/>
              </w:rPr>
              <w:t xml:space="preserve"> </w:t>
            </w:r>
            <w:r w:rsidRPr="009B3B45">
              <w:rPr>
                <w:rFonts w:ascii="Calibri" w:eastAsia="Calibri" w:hAnsi="Calibri" w:cs="Calibri"/>
                <w:sz w:val="24"/>
                <w:szCs w:val="24"/>
              </w:rPr>
              <w:t>as external auditors for a minimum term of three years</w:t>
            </w:r>
            <w:r>
              <w:rPr>
                <w:rFonts w:ascii="Calibri" w:eastAsia="Calibri" w:hAnsi="Calibri" w:cs="Calibri"/>
                <w:sz w:val="24"/>
                <w:szCs w:val="24"/>
              </w:rPr>
              <w:t>,</w:t>
            </w:r>
            <w:r w:rsidRPr="009B3B45">
              <w:rPr>
                <w:rFonts w:ascii="Calibri" w:eastAsia="Calibri" w:hAnsi="Calibri" w:cs="Calibri"/>
                <w:sz w:val="24"/>
                <w:szCs w:val="24"/>
              </w:rPr>
              <w:t xml:space="preserve"> plus the option to renew for successive periods of two years, up to a maximum term of seven years, subject to satisfactory annual performance review (minute BG/7/21/18.1 refers)</w:t>
            </w:r>
            <w:r w:rsidR="000E4243">
              <w:rPr>
                <w:rFonts w:ascii="Calibri" w:eastAsia="Calibri" w:hAnsi="Calibri" w:cs="Calibri"/>
                <w:sz w:val="24"/>
                <w:szCs w:val="24"/>
              </w:rPr>
              <w:t>.</w:t>
            </w:r>
          </w:p>
        </w:tc>
      </w:tr>
      <w:tr w:rsidR="008C0CAC" w:rsidRPr="008A753B" w14:paraId="653DC32D" w14:textId="77777777" w:rsidTr="395DEB2E">
        <w:tc>
          <w:tcPr>
            <w:tcW w:w="1844" w:type="dxa"/>
            <w:tcBorders>
              <w:top w:val="single" w:sz="4" w:space="0" w:color="auto"/>
              <w:bottom w:val="single" w:sz="4" w:space="0" w:color="auto"/>
            </w:tcBorders>
          </w:tcPr>
          <w:p w14:paraId="53FDD001" w14:textId="15137AA2" w:rsidR="008C0CAC" w:rsidRDefault="00A166EE" w:rsidP="00454CB5">
            <w:pPr>
              <w:spacing w:before="60" w:after="60"/>
              <w:ind w:left="-106" w:right="-108"/>
              <w:rPr>
                <w:sz w:val="24"/>
                <w:szCs w:val="24"/>
              </w:rPr>
            </w:pPr>
            <w:r>
              <w:rPr>
                <w:sz w:val="24"/>
                <w:szCs w:val="24"/>
              </w:rPr>
              <w:t>11.2</w:t>
            </w:r>
          </w:p>
        </w:tc>
        <w:tc>
          <w:tcPr>
            <w:tcW w:w="8226" w:type="dxa"/>
            <w:gridSpan w:val="2"/>
            <w:tcBorders>
              <w:top w:val="single" w:sz="4" w:space="0" w:color="auto"/>
              <w:bottom w:val="single" w:sz="4" w:space="0" w:color="auto"/>
            </w:tcBorders>
          </w:tcPr>
          <w:p w14:paraId="4B21A82E" w14:textId="23173116" w:rsidR="008C0CAC" w:rsidRDefault="00926B34" w:rsidP="00454CB5">
            <w:pPr>
              <w:spacing w:before="60" w:after="60"/>
              <w:rPr>
                <w:rFonts w:ascii="Calibri" w:eastAsia="Calibri" w:hAnsi="Calibri" w:cs="Calibri"/>
                <w:sz w:val="24"/>
                <w:szCs w:val="24"/>
              </w:rPr>
            </w:pPr>
            <w:r>
              <w:rPr>
                <w:rFonts w:ascii="Calibri" w:eastAsia="Calibri" w:hAnsi="Calibri" w:cs="Calibri"/>
                <w:sz w:val="24"/>
                <w:szCs w:val="24"/>
              </w:rPr>
              <w:t xml:space="preserve">The CFO was due to meet colleagues from Grant Thornton to discuss their audit work. </w:t>
            </w:r>
            <w:r w:rsidR="00A166EE">
              <w:rPr>
                <w:rFonts w:ascii="Calibri" w:eastAsia="Calibri" w:hAnsi="Calibri" w:cs="Calibri"/>
                <w:sz w:val="24"/>
                <w:szCs w:val="24"/>
              </w:rPr>
              <w:t>It was noted that th</w:t>
            </w:r>
            <w:r w:rsidR="006A0357">
              <w:rPr>
                <w:rFonts w:ascii="Calibri" w:eastAsia="Calibri" w:hAnsi="Calibri" w:cs="Calibri"/>
                <w:sz w:val="24"/>
                <w:szCs w:val="24"/>
              </w:rPr>
              <w:t>e audit senior</w:t>
            </w:r>
            <w:r w:rsidR="00A166EE">
              <w:rPr>
                <w:rFonts w:ascii="Calibri" w:eastAsia="Calibri" w:hAnsi="Calibri" w:cs="Calibri"/>
                <w:sz w:val="24"/>
                <w:szCs w:val="24"/>
              </w:rPr>
              <w:t xml:space="preserve">, who had worked on the </w:t>
            </w:r>
            <w:r w:rsidR="00D76294">
              <w:rPr>
                <w:rFonts w:ascii="Calibri" w:eastAsia="Calibri" w:hAnsi="Calibri" w:cs="Calibri"/>
                <w:sz w:val="24"/>
                <w:szCs w:val="24"/>
              </w:rPr>
              <w:t>U</w:t>
            </w:r>
            <w:r w:rsidR="00A166EE">
              <w:rPr>
                <w:rFonts w:ascii="Calibri" w:eastAsia="Calibri" w:hAnsi="Calibri" w:cs="Calibri"/>
                <w:sz w:val="24"/>
                <w:szCs w:val="24"/>
              </w:rPr>
              <w:t>niversity’s audit for a number of years,</w:t>
            </w:r>
            <w:r w:rsidR="006A0357">
              <w:rPr>
                <w:rFonts w:ascii="Calibri" w:eastAsia="Calibri" w:hAnsi="Calibri" w:cs="Calibri"/>
                <w:sz w:val="24"/>
                <w:szCs w:val="24"/>
              </w:rPr>
              <w:t xml:space="preserve"> had moved to a new role within Grant Thornton</w:t>
            </w:r>
            <w:r w:rsidR="00A166EE">
              <w:rPr>
                <w:rFonts w:ascii="Calibri" w:eastAsia="Calibri" w:hAnsi="Calibri" w:cs="Calibri"/>
                <w:sz w:val="24"/>
                <w:szCs w:val="24"/>
              </w:rPr>
              <w:t>:</w:t>
            </w:r>
            <w:r w:rsidR="006A0357">
              <w:rPr>
                <w:rFonts w:ascii="Calibri" w:eastAsia="Calibri" w:hAnsi="Calibri" w:cs="Calibri"/>
                <w:sz w:val="24"/>
                <w:szCs w:val="24"/>
              </w:rPr>
              <w:t xml:space="preserve"> the CFO observed that it would be important to ensure a smooth handover</w:t>
            </w:r>
            <w:r w:rsidR="00A166EE">
              <w:rPr>
                <w:rFonts w:ascii="Calibri" w:eastAsia="Calibri" w:hAnsi="Calibri" w:cs="Calibri"/>
                <w:sz w:val="24"/>
                <w:szCs w:val="24"/>
              </w:rPr>
              <w:t xml:space="preserve"> to the new senior</w:t>
            </w:r>
            <w:r w:rsidR="006A0357">
              <w:rPr>
                <w:rFonts w:ascii="Calibri" w:eastAsia="Calibri" w:hAnsi="Calibri" w:cs="Calibri"/>
                <w:sz w:val="24"/>
                <w:szCs w:val="24"/>
              </w:rPr>
              <w:t>.</w:t>
            </w:r>
          </w:p>
        </w:tc>
      </w:tr>
      <w:tr w:rsidR="006A0357" w:rsidRPr="008A753B" w14:paraId="61B59749" w14:textId="77777777" w:rsidTr="395DEB2E">
        <w:tc>
          <w:tcPr>
            <w:tcW w:w="1844" w:type="dxa"/>
            <w:tcBorders>
              <w:top w:val="single" w:sz="4" w:space="0" w:color="auto"/>
              <w:bottom w:val="single" w:sz="4" w:space="0" w:color="auto"/>
            </w:tcBorders>
          </w:tcPr>
          <w:p w14:paraId="6C83D0C1" w14:textId="1FED1556" w:rsidR="006A0357" w:rsidRDefault="00A166EE" w:rsidP="00454CB5">
            <w:pPr>
              <w:spacing w:before="60" w:after="60"/>
              <w:ind w:left="-106" w:right="-108"/>
              <w:rPr>
                <w:sz w:val="24"/>
                <w:szCs w:val="24"/>
              </w:rPr>
            </w:pPr>
            <w:r>
              <w:rPr>
                <w:sz w:val="24"/>
                <w:szCs w:val="24"/>
              </w:rPr>
              <w:t>11.3</w:t>
            </w:r>
          </w:p>
        </w:tc>
        <w:tc>
          <w:tcPr>
            <w:tcW w:w="8226" w:type="dxa"/>
            <w:gridSpan w:val="2"/>
            <w:tcBorders>
              <w:top w:val="single" w:sz="4" w:space="0" w:color="auto"/>
              <w:bottom w:val="single" w:sz="4" w:space="0" w:color="auto"/>
            </w:tcBorders>
          </w:tcPr>
          <w:p w14:paraId="17EC5CEC" w14:textId="59ACD0C1" w:rsidR="006A0357" w:rsidRDefault="006A0357" w:rsidP="00454CB5">
            <w:pPr>
              <w:spacing w:before="60" w:after="60"/>
              <w:rPr>
                <w:rFonts w:ascii="Calibri" w:eastAsia="Calibri" w:hAnsi="Calibri" w:cs="Calibri"/>
                <w:sz w:val="24"/>
                <w:szCs w:val="24"/>
              </w:rPr>
            </w:pPr>
            <w:r>
              <w:rPr>
                <w:rFonts w:ascii="Calibri" w:eastAsia="Calibri" w:hAnsi="Calibri" w:cs="Calibri"/>
                <w:sz w:val="24"/>
                <w:szCs w:val="24"/>
              </w:rPr>
              <w:t>The structured approach to the review of performance was welcomed.</w:t>
            </w:r>
          </w:p>
        </w:tc>
      </w:tr>
      <w:tr w:rsidR="008C0CAC" w:rsidRPr="008A753B" w14:paraId="6D063AC6" w14:textId="77777777" w:rsidTr="395DEB2E">
        <w:tc>
          <w:tcPr>
            <w:tcW w:w="1844" w:type="dxa"/>
            <w:tcBorders>
              <w:top w:val="single" w:sz="4" w:space="0" w:color="auto"/>
              <w:bottom w:val="single" w:sz="4" w:space="0" w:color="auto"/>
            </w:tcBorders>
          </w:tcPr>
          <w:p w14:paraId="2042BCBD" w14:textId="081014F9" w:rsidR="008C0CAC" w:rsidRDefault="008C0CAC" w:rsidP="00454CB5">
            <w:pPr>
              <w:spacing w:before="60" w:after="60"/>
              <w:ind w:left="-106" w:right="-108"/>
              <w:rPr>
                <w:sz w:val="24"/>
                <w:szCs w:val="24"/>
              </w:rPr>
            </w:pPr>
            <w:r>
              <w:rPr>
                <w:sz w:val="24"/>
                <w:szCs w:val="24"/>
              </w:rPr>
              <w:t>11.</w:t>
            </w:r>
            <w:r w:rsidR="00A166EE">
              <w:rPr>
                <w:sz w:val="24"/>
                <w:szCs w:val="24"/>
              </w:rPr>
              <w:t>4</w:t>
            </w:r>
          </w:p>
        </w:tc>
        <w:tc>
          <w:tcPr>
            <w:tcW w:w="8226" w:type="dxa"/>
            <w:gridSpan w:val="2"/>
            <w:tcBorders>
              <w:top w:val="single" w:sz="4" w:space="0" w:color="auto"/>
              <w:bottom w:val="single" w:sz="4" w:space="0" w:color="auto"/>
            </w:tcBorders>
          </w:tcPr>
          <w:p w14:paraId="3B4F51E9" w14:textId="30B0FD96" w:rsidR="008C0CAC" w:rsidRPr="008A753B" w:rsidRDefault="008C0CAC" w:rsidP="00454CB5">
            <w:pPr>
              <w:spacing w:before="60" w:after="60"/>
              <w:rPr>
                <w:sz w:val="24"/>
                <w:szCs w:val="24"/>
              </w:rPr>
            </w:pPr>
            <w:r>
              <w:rPr>
                <w:sz w:val="24"/>
                <w:szCs w:val="24"/>
              </w:rPr>
              <w:t xml:space="preserve">In line with the Committee’s remit to monitor </w:t>
            </w:r>
            <w:r w:rsidRPr="009B3B45">
              <w:rPr>
                <w:rFonts w:cstheme="minorHAnsi"/>
                <w:sz w:val="24"/>
                <w:szCs w:val="24"/>
              </w:rPr>
              <w:t xml:space="preserve">the performance and effectiveness of </w:t>
            </w:r>
            <w:r>
              <w:rPr>
                <w:rFonts w:cstheme="minorHAnsi"/>
                <w:sz w:val="24"/>
                <w:szCs w:val="24"/>
              </w:rPr>
              <w:t xml:space="preserve">the </w:t>
            </w:r>
            <w:r w:rsidRPr="009B3B45">
              <w:rPr>
                <w:rFonts w:cstheme="minorHAnsi"/>
                <w:sz w:val="24"/>
                <w:szCs w:val="24"/>
              </w:rPr>
              <w:t>external auditors</w:t>
            </w:r>
            <w:r w:rsidRPr="008C0CAC">
              <w:rPr>
                <w:sz w:val="24"/>
                <w:szCs w:val="24"/>
              </w:rPr>
              <w:t xml:space="preserve"> </w:t>
            </w:r>
            <w:r>
              <w:rPr>
                <w:sz w:val="24"/>
                <w:szCs w:val="24"/>
              </w:rPr>
              <w:t>t</w:t>
            </w:r>
            <w:r w:rsidRPr="008C0CAC">
              <w:rPr>
                <w:sz w:val="24"/>
                <w:szCs w:val="24"/>
              </w:rPr>
              <w:t xml:space="preserve">he Committee </w:t>
            </w:r>
            <w:r w:rsidRPr="008C0CAC">
              <w:rPr>
                <w:iCs/>
                <w:sz w:val="24"/>
                <w:szCs w:val="24"/>
                <w:u w:val="single"/>
              </w:rPr>
              <w:t>agreed</w:t>
            </w:r>
            <w:r w:rsidRPr="008C0CAC">
              <w:rPr>
                <w:iCs/>
                <w:sz w:val="24"/>
                <w:szCs w:val="24"/>
              </w:rPr>
              <w:t xml:space="preserve"> that Grant Thornton’s performance had been satisfactory</w:t>
            </w:r>
            <w:r>
              <w:rPr>
                <w:iCs/>
                <w:sz w:val="24"/>
                <w:szCs w:val="24"/>
              </w:rPr>
              <w:t>.</w:t>
            </w:r>
          </w:p>
        </w:tc>
      </w:tr>
      <w:tr w:rsidR="00454CB5" w:rsidRPr="008A753B" w14:paraId="0AE94694" w14:textId="77777777" w:rsidTr="395DEB2E">
        <w:trPr>
          <w:cantSplit/>
        </w:trPr>
        <w:tc>
          <w:tcPr>
            <w:tcW w:w="1844" w:type="dxa"/>
            <w:tcBorders>
              <w:top w:val="single" w:sz="4" w:space="0" w:color="auto"/>
              <w:bottom w:val="single" w:sz="4" w:space="0" w:color="auto"/>
            </w:tcBorders>
            <w:shd w:val="clear" w:color="auto" w:fill="D9D9D9" w:themeFill="background1" w:themeFillShade="D9"/>
          </w:tcPr>
          <w:p w14:paraId="4BC10476" w14:textId="23F40BB2" w:rsidR="00454CB5" w:rsidRPr="00826269" w:rsidRDefault="00454CB5" w:rsidP="00454CB5">
            <w:pPr>
              <w:pStyle w:val="Heading3"/>
              <w:spacing w:before="60" w:after="60"/>
              <w:ind w:left="-106" w:right="-108"/>
              <w:rPr>
                <w:sz w:val="20"/>
                <w:szCs w:val="20"/>
              </w:rPr>
            </w:pPr>
            <w:r w:rsidRPr="009C163A">
              <w:t>ARC/202</w:t>
            </w:r>
            <w:r>
              <w:t>3</w:t>
            </w:r>
            <w:r w:rsidRPr="009C163A">
              <w:t>-</w:t>
            </w:r>
            <w:r>
              <w:t>03-09</w:t>
            </w:r>
            <w:r w:rsidRPr="009C163A">
              <w:t>/</w:t>
            </w:r>
            <w:r>
              <w:t>12</w:t>
            </w:r>
          </w:p>
        </w:tc>
        <w:tc>
          <w:tcPr>
            <w:tcW w:w="6379" w:type="dxa"/>
            <w:tcBorders>
              <w:top w:val="single" w:sz="4" w:space="0" w:color="auto"/>
              <w:bottom w:val="single" w:sz="4" w:space="0" w:color="auto"/>
            </w:tcBorders>
            <w:shd w:val="clear" w:color="auto" w:fill="D9D9D9" w:themeFill="background1" w:themeFillShade="D9"/>
          </w:tcPr>
          <w:p w14:paraId="46D4EFF8" w14:textId="6FD9B187" w:rsidR="00454CB5" w:rsidRPr="002161A7" w:rsidRDefault="00454CB5" w:rsidP="00454CB5">
            <w:pPr>
              <w:pStyle w:val="ListParagraph"/>
              <w:ind w:left="0"/>
              <w:rPr>
                <w:b/>
                <w:bCs/>
                <w:sz w:val="24"/>
                <w:szCs w:val="24"/>
              </w:rPr>
            </w:pPr>
            <w:r w:rsidRPr="002161A7">
              <w:rPr>
                <w:b/>
                <w:bCs/>
                <w:sz w:val="24"/>
                <w:szCs w:val="24"/>
              </w:rPr>
              <w:t xml:space="preserve">ASSURANCE OF DATA RETURNS  </w:t>
            </w:r>
          </w:p>
        </w:tc>
        <w:tc>
          <w:tcPr>
            <w:tcW w:w="1847" w:type="dxa"/>
            <w:tcBorders>
              <w:top w:val="single" w:sz="4" w:space="0" w:color="auto"/>
              <w:bottom w:val="single" w:sz="4" w:space="0" w:color="auto"/>
            </w:tcBorders>
            <w:shd w:val="clear" w:color="auto" w:fill="D9D9D9" w:themeFill="background1" w:themeFillShade="D9"/>
          </w:tcPr>
          <w:p w14:paraId="7206D369" w14:textId="2731C442" w:rsidR="00454CB5" w:rsidRPr="00CC16EB" w:rsidRDefault="00454CB5" w:rsidP="00454CB5">
            <w:pPr>
              <w:pStyle w:val="Heading3"/>
              <w:spacing w:before="60" w:after="60"/>
              <w:ind w:left="-113" w:right="-109"/>
              <w:jc w:val="right"/>
            </w:pPr>
            <w:r w:rsidRPr="009C163A">
              <w:t>ARC/202</w:t>
            </w:r>
            <w:r>
              <w:t>3</w:t>
            </w:r>
            <w:r w:rsidRPr="009C163A">
              <w:t>-</w:t>
            </w:r>
            <w:r>
              <w:t>03-09</w:t>
            </w:r>
            <w:r w:rsidRPr="009C163A">
              <w:t>/</w:t>
            </w:r>
            <w:r w:rsidR="00C75E13">
              <w:t>P10</w:t>
            </w:r>
          </w:p>
        </w:tc>
      </w:tr>
      <w:tr w:rsidR="00454CB5" w:rsidRPr="008A753B" w14:paraId="6C82D05D" w14:textId="77777777" w:rsidTr="395DEB2E">
        <w:tc>
          <w:tcPr>
            <w:tcW w:w="1844" w:type="dxa"/>
            <w:tcBorders>
              <w:top w:val="single" w:sz="4" w:space="0" w:color="auto"/>
              <w:bottom w:val="single" w:sz="4" w:space="0" w:color="auto"/>
            </w:tcBorders>
          </w:tcPr>
          <w:p w14:paraId="324550BE" w14:textId="7B19A65C" w:rsidR="00454CB5" w:rsidRPr="008A753B" w:rsidRDefault="00454CB5" w:rsidP="00454CB5">
            <w:pPr>
              <w:spacing w:before="60" w:after="60"/>
              <w:ind w:left="-106" w:right="-108"/>
              <w:rPr>
                <w:sz w:val="24"/>
                <w:szCs w:val="24"/>
              </w:rPr>
            </w:pPr>
            <w:r>
              <w:rPr>
                <w:sz w:val="24"/>
                <w:szCs w:val="24"/>
              </w:rPr>
              <w:t>12.1</w:t>
            </w:r>
          </w:p>
        </w:tc>
        <w:tc>
          <w:tcPr>
            <w:tcW w:w="8226" w:type="dxa"/>
            <w:gridSpan w:val="2"/>
            <w:tcBorders>
              <w:top w:val="single" w:sz="4" w:space="0" w:color="auto"/>
              <w:bottom w:val="single" w:sz="4" w:space="0" w:color="auto"/>
            </w:tcBorders>
          </w:tcPr>
          <w:p w14:paraId="28374C9C" w14:textId="3B42D5CB" w:rsidR="00454CB5" w:rsidRPr="008A753B" w:rsidRDefault="00C75E13" w:rsidP="00454CB5">
            <w:pPr>
              <w:spacing w:before="60" w:after="60"/>
              <w:rPr>
                <w:sz w:val="24"/>
                <w:szCs w:val="24"/>
              </w:rPr>
            </w:pPr>
            <w:r w:rsidRPr="009A55E7">
              <w:rPr>
                <w:sz w:val="24"/>
              </w:rPr>
              <w:t>The Committee noted the report</w:t>
            </w:r>
            <w:r>
              <w:rPr>
                <w:sz w:val="24"/>
              </w:rPr>
              <w:t>.</w:t>
            </w:r>
          </w:p>
        </w:tc>
      </w:tr>
      <w:tr w:rsidR="00454CB5" w:rsidRPr="008A753B" w14:paraId="58F9A6D3" w14:textId="77777777" w:rsidTr="395DEB2E">
        <w:trPr>
          <w:cantSplit/>
        </w:trPr>
        <w:tc>
          <w:tcPr>
            <w:tcW w:w="1844" w:type="dxa"/>
            <w:tcBorders>
              <w:top w:val="single" w:sz="4" w:space="0" w:color="auto"/>
              <w:bottom w:val="single" w:sz="4" w:space="0" w:color="auto"/>
            </w:tcBorders>
            <w:shd w:val="clear" w:color="auto" w:fill="D9D9D9" w:themeFill="background1" w:themeFillShade="D9"/>
          </w:tcPr>
          <w:p w14:paraId="15D20843" w14:textId="5EE2C162" w:rsidR="00454CB5" w:rsidRPr="00826269" w:rsidRDefault="00454CB5" w:rsidP="00454CB5">
            <w:pPr>
              <w:pStyle w:val="Heading3"/>
              <w:spacing w:before="60" w:after="60"/>
              <w:ind w:left="-106" w:right="-108"/>
              <w:rPr>
                <w:sz w:val="20"/>
                <w:szCs w:val="20"/>
              </w:rPr>
            </w:pPr>
            <w:r w:rsidRPr="009C163A">
              <w:t>ARC/202</w:t>
            </w:r>
            <w:r>
              <w:t>3</w:t>
            </w:r>
            <w:r w:rsidRPr="009C163A">
              <w:t>-</w:t>
            </w:r>
            <w:r>
              <w:t>03-09</w:t>
            </w:r>
            <w:r w:rsidRPr="009C163A">
              <w:t>/</w:t>
            </w:r>
            <w:r>
              <w:t>13</w:t>
            </w:r>
          </w:p>
        </w:tc>
        <w:tc>
          <w:tcPr>
            <w:tcW w:w="6379" w:type="dxa"/>
            <w:tcBorders>
              <w:top w:val="single" w:sz="4" w:space="0" w:color="auto"/>
              <w:bottom w:val="single" w:sz="4" w:space="0" w:color="auto"/>
            </w:tcBorders>
            <w:shd w:val="clear" w:color="auto" w:fill="D9D9D9" w:themeFill="background1" w:themeFillShade="D9"/>
          </w:tcPr>
          <w:p w14:paraId="3593BBD8" w14:textId="7630FE39" w:rsidR="00454CB5" w:rsidRPr="008A753B" w:rsidRDefault="00454CB5" w:rsidP="00454CB5">
            <w:pPr>
              <w:pStyle w:val="Heading2"/>
            </w:pPr>
            <w:r>
              <w:rPr>
                <w:bCs/>
                <w:szCs w:val="24"/>
              </w:rPr>
              <w:t>REPORT ON REVIEW OF ANTI-BRIBERY POLICY AND UPDATE ON BRIBERY ACT COMPLIANCE MEASURES</w:t>
            </w:r>
          </w:p>
        </w:tc>
        <w:tc>
          <w:tcPr>
            <w:tcW w:w="1847" w:type="dxa"/>
            <w:tcBorders>
              <w:top w:val="single" w:sz="4" w:space="0" w:color="auto"/>
              <w:bottom w:val="single" w:sz="4" w:space="0" w:color="auto"/>
            </w:tcBorders>
            <w:shd w:val="clear" w:color="auto" w:fill="D9D9D9" w:themeFill="background1" w:themeFillShade="D9"/>
          </w:tcPr>
          <w:p w14:paraId="514FEA04" w14:textId="0C734F42" w:rsidR="00454CB5" w:rsidRDefault="00454CB5" w:rsidP="00454CB5">
            <w:pPr>
              <w:pStyle w:val="Heading3"/>
              <w:spacing w:before="60" w:after="60"/>
              <w:ind w:left="-113" w:right="-109"/>
              <w:jc w:val="right"/>
            </w:pPr>
            <w:r w:rsidRPr="009C163A">
              <w:t>ARC/202</w:t>
            </w:r>
            <w:r>
              <w:t>3</w:t>
            </w:r>
            <w:r w:rsidRPr="009C163A">
              <w:t>-</w:t>
            </w:r>
            <w:r>
              <w:t>03-09</w:t>
            </w:r>
            <w:r w:rsidRPr="009C163A">
              <w:t>/</w:t>
            </w:r>
            <w:r w:rsidR="00C75E13">
              <w:t>P11</w:t>
            </w:r>
          </w:p>
          <w:p w14:paraId="7F9A2E92" w14:textId="43383E63" w:rsidR="00454CB5" w:rsidRPr="008B6C2E" w:rsidRDefault="00454CB5" w:rsidP="00454CB5">
            <w:pPr>
              <w:jc w:val="right"/>
            </w:pPr>
            <w:r w:rsidRPr="00890889">
              <w:rPr>
                <w:sz w:val="18"/>
                <w:szCs w:val="18"/>
              </w:rPr>
              <w:t>CONFIDENTIAL</w:t>
            </w:r>
          </w:p>
        </w:tc>
      </w:tr>
      <w:tr w:rsidR="00454CB5" w:rsidRPr="008A753B" w14:paraId="3D973407" w14:textId="77777777" w:rsidTr="395DEB2E">
        <w:tc>
          <w:tcPr>
            <w:tcW w:w="1844" w:type="dxa"/>
            <w:tcBorders>
              <w:top w:val="single" w:sz="4" w:space="0" w:color="auto"/>
              <w:bottom w:val="single" w:sz="4" w:space="0" w:color="auto"/>
            </w:tcBorders>
          </w:tcPr>
          <w:p w14:paraId="7C81DC5E" w14:textId="1CCA3FD9" w:rsidR="00454CB5" w:rsidRPr="008A753B" w:rsidRDefault="00454CB5" w:rsidP="00454CB5">
            <w:pPr>
              <w:spacing w:before="60" w:after="60"/>
              <w:ind w:left="-106" w:right="-108"/>
              <w:rPr>
                <w:sz w:val="24"/>
                <w:szCs w:val="24"/>
              </w:rPr>
            </w:pPr>
            <w:r>
              <w:rPr>
                <w:sz w:val="24"/>
                <w:szCs w:val="24"/>
              </w:rPr>
              <w:t>13.1</w:t>
            </w:r>
          </w:p>
        </w:tc>
        <w:tc>
          <w:tcPr>
            <w:tcW w:w="8226" w:type="dxa"/>
            <w:gridSpan w:val="2"/>
            <w:tcBorders>
              <w:top w:val="single" w:sz="4" w:space="0" w:color="auto"/>
              <w:bottom w:val="single" w:sz="4" w:space="0" w:color="auto"/>
            </w:tcBorders>
          </w:tcPr>
          <w:p w14:paraId="1CEFFBAF" w14:textId="13414903" w:rsidR="00454CB5" w:rsidRPr="00194BA4" w:rsidRDefault="00D92D03" w:rsidP="00D92D03">
            <w:pPr>
              <w:pStyle w:val="ListParagraph"/>
              <w:spacing w:before="60" w:after="60"/>
              <w:ind w:left="0"/>
              <w:rPr>
                <w:sz w:val="24"/>
                <w:szCs w:val="24"/>
              </w:rPr>
            </w:pPr>
            <w:r w:rsidRPr="009A55E7">
              <w:rPr>
                <w:sz w:val="24"/>
              </w:rPr>
              <w:t>The Committee noted the report</w:t>
            </w:r>
            <w:r>
              <w:rPr>
                <w:sz w:val="24"/>
              </w:rPr>
              <w:t>.</w:t>
            </w:r>
          </w:p>
        </w:tc>
      </w:tr>
      <w:tr w:rsidR="00454CB5" w:rsidRPr="008A753B" w14:paraId="5C68E4FF" w14:textId="77777777" w:rsidTr="395DEB2E">
        <w:trPr>
          <w:cantSplit/>
        </w:trPr>
        <w:tc>
          <w:tcPr>
            <w:tcW w:w="1844" w:type="dxa"/>
            <w:tcBorders>
              <w:top w:val="single" w:sz="4" w:space="0" w:color="auto"/>
              <w:bottom w:val="single" w:sz="4" w:space="0" w:color="auto"/>
            </w:tcBorders>
            <w:shd w:val="clear" w:color="auto" w:fill="D9D9D9" w:themeFill="background1" w:themeFillShade="D9"/>
          </w:tcPr>
          <w:p w14:paraId="0907C4F7" w14:textId="1E580989" w:rsidR="00454CB5" w:rsidRPr="00826269" w:rsidRDefault="00454CB5" w:rsidP="00454CB5">
            <w:pPr>
              <w:pStyle w:val="Heading3"/>
              <w:spacing w:before="60" w:after="60"/>
              <w:ind w:left="-106" w:right="-108"/>
              <w:rPr>
                <w:sz w:val="20"/>
                <w:szCs w:val="20"/>
              </w:rPr>
            </w:pPr>
            <w:r w:rsidRPr="009C163A">
              <w:t>ARC/202</w:t>
            </w:r>
            <w:r>
              <w:t>3</w:t>
            </w:r>
            <w:r w:rsidRPr="009C163A">
              <w:t>-</w:t>
            </w:r>
            <w:r>
              <w:t>03-09</w:t>
            </w:r>
            <w:r w:rsidRPr="009C163A">
              <w:t>/</w:t>
            </w:r>
            <w:r>
              <w:t>14</w:t>
            </w:r>
          </w:p>
        </w:tc>
        <w:tc>
          <w:tcPr>
            <w:tcW w:w="6379" w:type="dxa"/>
            <w:tcBorders>
              <w:top w:val="single" w:sz="4" w:space="0" w:color="auto"/>
              <w:bottom w:val="single" w:sz="4" w:space="0" w:color="auto"/>
            </w:tcBorders>
            <w:shd w:val="clear" w:color="auto" w:fill="D9D9D9" w:themeFill="background1" w:themeFillShade="D9"/>
          </w:tcPr>
          <w:p w14:paraId="0A1BDFE5" w14:textId="708601D6" w:rsidR="00454CB5" w:rsidRPr="007A5ECD" w:rsidRDefault="00454CB5" w:rsidP="00454CB5">
            <w:pPr>
              <w:rPr>
                <w:b/>
                <w:bCs/>
              </w:rPr>
            </w:pPr>
            <w:r>
              <w:rPr>
                <w:b/>
                <w:bCs/>
                <w:color w:val="000000" w:themeColor="text1"/>
                <w:sz w:val="24"/>
                <w:szCs w:val="24"/>
              </w:rPr>
              <w:t>ANNUAL REPORT ON FRAUD</w:t>
            </w:r>
          </w:p>
        </w:tc>
        <w:tc>
          <w:tcPr>
            <w:tcW w:w="1847" w:type="dxa"/>
            <w:tcBorders>
              <w:top w:val="single" w:sz="4" w:space="0" w:color="auto"/>
              <w:bottom w:val="single" w:sz="4" w:space="0" w:color="auto"/>
            </w:tcBorders>
            <w:shd w:val="clear" w:color="auto" w:fill="D9D9D9" w:themeFill="background1" w:themeFillShade="D9"/>
          </w:tcPr>
          <w:p w14:paraId="4AA400B1" w14:textId="6C977F7A" w:rsidR="00454CB5" w:rsidRPr="00C33619" w:rsidRDefault="00454CB5" w:rsidP="00C33619">
            <w:pPr>
              <w:pStyle w:val="Heading3"/>
              <w:spacing w:before="60" w:after="60"/>
              <w:ind w:left="-113" w:right="-109"/>
              <w:jc w:val="right"/>
              <w:rPr>
                <w:szCs w:val="18"/>
              </w:rPr>
            </w:pPr>
            <w:r w:rsidRPr="00C33619">
              <w:rPr>
                <w:szCs w:val="18"/>
              </w:rPr>
              <w:t>ARC/2023-03-09/</w:t>
            </w:r>
            <w:r w:rsidR="00C75E13">
              <w:rPr>
                <w:szCs w:val="18"/>
              </w:rPr>
              <w:t>P12</w:t>
            </w:r>
          </w:p>
          <w:p w14:paraId="6A691574" w14:textId="6D349158" w:rsidR="00C33619" w:rsidRPr="00C33619" w:rsidRDefault="00C33619" w:rsidP="00C33619">
            <w:pPr>
              <w:jc w:val="right"/>
              <w:rPr>
                <w:sz w:val="18"/>
                <w:szCs w:val="18"/>
              </w:rPr>
            </w:pPr>
            <w:r w:rsidRPr="00C33619">
              <w:rPr>
                <w:sz w:val="18"/>
                <w:szCs w:val="18"/>
              </w:rPr>
              <w:t>CONFIDENTIAL</w:t>
            </w:r>
          </w:p>
        </w:tc>
      </w:tr>
      <w:tr w:rsidR="00454CB5" w:rsidRPr="008A753B" w14:paraId="3A548E9D" w14:textId="77777777" w:rsidTr="0076260A">
        <w:trPr>
          <w:trHeight w:val="503"/>
        </w:trPr>
        <w:tc>
          <w:tcPr>
            <w:tcW w:w="1844" w:type="dxa"/>
            <w:tcBorders>
              <w:top w:val="single" w:sz="4" w:space="0" w:color="auto"/>
              <w:bottom w:val="single" w:sz="4" w:space="0" w:color="auto"/>
            </w:tcBorders>
          </w:tcPr>
          <w:p w14:paraId="09AA0651" w14:textId="30F33848" w:rsidR="00454CB5" w:rsidRDefault="00454CB5" w:rsidP="00454CB5">
            <w:pPr>
              <w:spacing w:before="60" w:after="60"/>
              <w:ind w:left="-106" w:right="-108"/>
              <w:rPr>
                <w:sz w:val="24"/>
                <w:szCs w:val="24"/>
              </w:rPr>
            </w:pPr>
            <w:r>
              <w:rPr>
                <w:sz w:val="24"/>
                <w:szCs w:val="24"/>
              </w:rPr>
              <w:t>14</w:t>
            </w:r>
            <w:r w:rsidRPr="008A753B">
              <w:rPr>
                <w:sz w:val="24"/>
                <w:szCs w:val="24"/>
              </w:rPr>
              <w:t>.1</w:t>
            </w:r>
          </w:p>
        </w:tc>
        <w:tc>
          <w:tcPr>
            <w:tcW w:w="8226" w:type="dxa"/>
            <w:gridSpan w:val="2"/>
            <w:tcBorders>
              <w:top w:val="single" w:sz="4" w:space="0" w:color="auto"/>
              <w:bottom w:val="single" w:sz="4" w:space="0" w:color="auto"/>
            </w:tcBorders>
          </w:tcPr>
          <w:p w14:paraId="5AC107C9" w14:textId="4A9AA964" w:rsidR="00454CB5" w:rsidRDefault="00D92D03" w:rsidP="00454CB5">
            <w:pPr>
              <w:spacing w:before="60" w:after="60"/>
              <w:rPr>
                <w:sz w:val="24"/>
                <w:szCs w:val="24"/>
              </w:rPr>
            </w:pPr>
            <w:r w:rsidRPr="009A55E7">
              <w:rPr>
                <w:sz w:val="24"/>
              </w:rPr>
              <w:t>The Committee noted the report</w:t>
            </w:r>
            <w:r>
              <w:rPr>
                <w:sz w:val="24"/>
              </w:rPr>
              <w:t>.</w:t>
            </w:r>
          </w:p>
        </w:tc>
      </w:tr>
      <w:tr w:rsidR="00454CB5" w:rsidRPr="008A753B" w14:paraId="39C8E2D0" w14:textId="77777777" w:rsidTr="395DEB2E">
        <w:trPr>
          <w:cantSplit/>
        </w:trPr>
        <w:tc>
          <w:tcPr>
            <w:tcW w:w="1844" w:type="dxa"/>
            <w:tcBorders>
              <w:top w:val="single" w:sz="4" w:space="0" w:color="auto"/>
              <w:bottom w:val="single" w:sz="4" w:space="0" w:color="auto"/>
            </w:tcBorders>
            <w:shd w:val="clear" w:color="auto" w:fill="D9D9D9" w:themeFill="background1" w:themeFillShade="D9"/>
          </w:tcPr>
          <w:p w14:paraId="26CA84FE" w14:textId="3AF9E671" w:rsidR="00454CB5" w:rsidRPr="00826269" w:rsidRDefault="00454CB5" w:rsidP="00454CB5">
            <w:pPr>
              <w:pStyle w:val="Heading3"/>
              <w:spacing w:before="60" w:after="60"/>
              <w:ind w:left="-106" w:right="-108"/>
              <w:rPr>
                <w:sz w:val="20"/>
                <w:szCs w:val="20"/>
              </w:rPr>
            </w:pPr>
            <w:r w:rsidRPr="009C163A">
              <w:lastRenderedPageBreak/>
              <w:t>ARC/202</w:t>
            </w:r>
            <w:r>
              <w:t>3</w:t>
            </w:r>
            <w:r w:rsidRPr="009C163A">
              <w:t>-</w:t>
            </w:r>
            <w:r>
              <w:t>03-09</w:t>
            </w:r>
            <w:r w:rsidRPr="009C163A">
              <w:t>/</w:t>
            </w:r>
            <w:r>
              <w:t>15</w:t>
            </w:r>
          </w:p>
        </w:tc>
        <w:tc>
          <w:tcPr>
            <w:tcW w:w="6379" w:type="dxa"/>
            <w:tcBorders>
              <w:top w:val="single" w:sz="4" w:space="0" w:color="auto"/>
              <w:bottom w:val="single" w:sz="4" w:space="0" w:color="auto"/>
            </w:tcBorders>
            <w:shd w:val="clear" w:color="auto" w:fill="D9D9D9" w:themeFill="background1" w:themeFillShade="D9"/>
          </w:tcPr>
          <w:p w14:paraId="425CD725" w14:textId="452A97BA" w:rsidR="00454CB5" w:rsidRPr="007A5ECD" w:rsidRDefault="00454CB5" w:rsidP="00454CB5">
            <w:pPr>
              <w:rPr>
                <w:b/>
                <w:bCs/>
                <w:sz w:val="24"/>
                <w:szCs w:val="24"/>
              </w:rPr>
            </w:pPr>
            <w:r>
              <w:rPr>
                <w:b/>
                <w:bCs/>
                <w:color w:val="000000" w:themeColor="text1"/>
                <w:sz w:val="24"/>
                <w:szCs w:val="24"/>
              </w:rPr>
              <w:t>ANNUAL PROCUREMENT REPORT 2021/22</w:t>
            </w:r>
          </w:p>
        </w:tc>
        <w:tc>
          <w:tcPr>
            <w:tcW w:w="1847" w:type="dxa"/>
            <w:tcBorders>
              <w:top w:val="single" w:sz="4" w:space="0" w:color="auto"/>
              <w:bottom w:val="single" w:sz="4" w:space="0" w:color="auto"/>
            </w:tcBorders>
            <w:shd w:val="clear" w:color="auto" w:fill="D9D9D9" w:themeFill="background1" w:themeFillShade="D9"/>
          </w:tcPr>
          <w:p w14:paraId="586149B1" w14:textId="5E70917A" w:rsidR="00454CB5" w:rsidRDefault="00454CB5" w:rsidP="00454CB5">
            <w:pPr>
              <w:pStyle w:val="Heading3"/>
              <w:spacing w:before="60" w:after="60"/>
              <w:ind w:left="-113" w:right="-109"/>
              <w:jc w:val="right"/>
            </w:pPr>
            <w:r w:rsidRPr="009C163A">
              <w:t>ARC/202</w:t>
            </w:r>
            <w:r>
              <w:t>3</w:t>
            </w:r>
            <w:r w:rsidRPr="009C163A">
              <w:t>-</w:t>
            </w:r>
            <w:r>
              <w:t>03-09</w:t>
            </w:r>
            <w:r w:rsidRPr="009C163A">
              <w:t>/</w:t>
            </w:r>
            <w:r w:rsidR="00C75E13">
              <w:t>P13</w:t>
            </w:r>
          </w:p>
          <w:p w14:paraId="7EB67C3B" w14:textId="2754FE51" w:rsidR="00454CB5" w:rsidRPr="000715BD" w:rsidRDefault="00454CB5" w:rsidP="00454CB5">
            <w:pPr>
              <w:jc w:val="right"/>
            </w:pPr>
            <w:r w:rsidRPr="00890889">
              <w:rPr>
                <w:sz w:val="18"/>
                <w:szCs w:val="18"/>
              </w:rPr>
              <w:t>CONFIDENTIAL</w:t>
            </w:r>
          </w:p>
        </w:tc>
      </w:tr>
      <w:tr w:rsidR="00454CB5" w:rsidRPr="008A753B" w14:paraId="36D9481E" w14:textId="77777777" w:rsidTr="395DEB2E">
        <w:tc>
          <w:tcPr>
            <w:tcW w:w="1844" w:type="dxa"/>
            <w:tcBorders>
              <w:top w:val="single" w:sz="4" w:space="0" w:color="auto"/>
              <w:bottom w:val="single" w:sz="4" w:space="0" w:color="auto"/>
            </w:tcBorders>
          </w:tcPr>
          <w:p w14:paraId="54C27AA6" w14:textId="6ED0403A" w:rsidR="00454CB5" w:rsidRDefault="00454CB5" w:rsidP="00454CB5">
            <w:pPr>
              <w:spacing w:before="60" w:after="60"/>
              <w:ind w:left="-106" w:right="-108"/>
              <w:rPr>
                <w:sz w:val="24"/>
                <w:szCs w:val="24"/>
              </w:rPr>
            </w:pPr>
            <w:r>
              <w:rPr>
                <w:sz w:val="24"/>
                <w:szCs w:val="24"/>
              </w:rPr>
              <w:t>15</w:t>
            </w:r>
            <w:r w:rsidRPr="008A753B">
              <w:rPr>
                <w:sz w:val="24"/>
                <w:szCs w:val="24"/>
              </w:rPr>
              <w:t>.1</w:t>
            </w:r>
          </w:p>
        </w:tc>
        <w:tc>
          <w:tcPr>
            <w:tcW w:w="8226" w:type="dxa"/>
            <w:gridSpan w:val="2"/>
            <w:tcBorders>
              <w:top w:val="single" w:sz="4" w:space="0" w:color="auto"/>
              <w:bottom w:val="single" w:sz="4" w:space="0" w:color="auto"/>
            </w:tcBorders>
          </w:tcPr>
          <w:p w14:paraId="43E80374" w14:textId="4BC2D994" w:rsidR="00454CB5" w:rsidRDefault="00D92D03" w:rsidP="00454CB5">
            <w:pPr>
              <w:spacing w:before="60" w:after="60"/>
              <w:rPr>
                <w:sz w:val="24"/>
                <w:szCs w:val="24"/>
              </w:rPr>
            </w:pPr>
            <w:r w:rsidRPr="009A55E7">
              <w:rPr>
                <w:sz w:val="24"/>
              </w:rPr>
              <w:t>The Committee noted the report</w:t>
            </w:r>
            <w:r w:rsidR="00D70432">
              <w:rPr>
                <w:sz w:val="24"/>
              </w:rPr>
              <w:t>, including the l</w:t>
            </w:r>
            <w:r w:rsidR="00D70432" w:rsidRPr="00D70432">
              <w:rPr>
                <w:sz w:val="24"/>
              </w:rPr>
              <w:t>ikely impacts of the National Procurement Reforms</w:t>
            </w:r>
            <w:r w:rsidR="00D70432">
              <w:rPr>
                <w:sz w:val="24"/>
              </w:rPr>
              <w:t xml:space="preserve"> and that additional staffing resource had been brought in to support complex procurement including the ongoing digital procurement</w:t>
            </w:r>
            <w:r w:rsidR="00D76294">
              <w:rPr>
                <w:sz w:val="24"/>
              </w:rPr>
              <w:t>.</w:t>
            </w:r>
          </w:p>
        </w:tc>
      </w:tr>
      <w:tr w:rsidR="00454CB5" w:rsidRPr="008A753B" w14:paraId="3EAF8EA0" w14:textId="77777777" w:rsidTr="395DEB2E">
        <w:trPr>
          <w:cantSplit/>
        </w:trPr>
        <w:tc>
          <w:tcPr>
            <w:tcW w:w="1844" w:type="dxa"/>
            <w:tcBorders>
              <w:top w:val="single" w:sz="4" w:space="0" w:color="auto"/>
              <w:bottom w:val="single" w:sz="4" w:space="0" w:color="auto"/>
            </w:tcBorders>
            <w:shd w:val="clear" w:color="auto" w:fill="D9D9D9" w:themeFill="background1" w:themeFillShade="D9"/>
          </w:tcPr>
          <w:p w14:paraId="487DB89F" w14:textId="276EC54E" w:rsidR="00454CB5" w:rsidRPr="00826269" w:rsidRDefault="00454CB5" w:rsidP="00454CB5">
            <w:pPr>
              <w:pStyle w:val="Heading3"/>
              <w:spacing w:before="60" w:after="60"/>
              <w:ind w:left="-106" w:right="-108"/>
              <w:rPr>
                <w:sz w:val="20"/>
                <w:szCs w:val="20"/>
              </w:rPr>
            </w:pPr>
            <w:r w:rsidRPr="009C163A">
              <w:t>ARC/202</w:t>
            </w:r>
            <w:r>
              <w:t>3</w:t>
            </w:r>
            <w:r w:rsidRPr="009C163A">
              <w:t>-</w:t>
            </w:r>
            <w:r>
              <w:t>03-09/16</w:t>
            </w:r>
          </w:p>
        </w:tc>
        <w:tc>
          <w:tcPr>
            <w:tcW w:w="6379" w:type="dxa"/>
            <w:tcBorders>
              <w:top w:val="single" w:sz="4" w:space="0" w:color="auto"/>
              <w:bottom w:val="single" w:sz="4" w:space="0" w:color="auto"/>
            </w:tcBorders>
            <w:shd w:val="clear" w:color="auto" w:fill="D9D9D9" w:themeFill="background1" w:themeFillShade="D9"/>
          </w:tcPr>
          <w:p w14:paraId="1A20962A" w14:textId="4C096B61" w:rsidR="00454CB5" w:rsidRPr="008A753B" w:rsidRDefault="00454CB5" w:rsidP="00454CB5">
            <w:pPr>
              <w:pStyle w:val="Heading2"/>
            </w:pPr>
            <w:r>
              <w:rPr>
                <w:bCs/>
                <w:szCs w:val="24"/>
              </w:rPr>
              <w:t>REPORT ON WAIVERS OF THE FINANCIAL REGULATIONS</w:t>
            </w:r>
          </w:p>
        </w:tc>
        <w:tc>
          <w:tcPr>
            <w:tcW w:w="1847" w:type="dxa"/>
            <w:tcBorders>
              <w:top w:val="single" w:sz="4" w:space="0" w:color="auto"/>
              <w:bottom w:val="single" w:sz="4" w:space="0" w:color="auto"/>
            </w:tcBorders>
            <w:shd w:val="clear" w:color="auto" w:fill="D9D9D9" w:themeFill="background1" w:themeFillShade="D9"/>
          </w:tcPr>
          <w:p w14:paraId="214C53AD" w14:textId="34FAE8B4" w:rsidR="00454CB5" w:rsidRDefault="00454CB5" w:rsidP="00454CB5">
            <w:pPr>
              <w:pStyle w:val="Heading3"/>
              <w:spacing w:before="60" w:after="60"/>
              <w:ind w:left="-113" w:right="-109"/>
              <w:jc w:val="right"/>
            </w:pPr>
            <w:r w:rsidRPr="009C163A">
              <w:t>ARC/202</w:t>
            </w:r>
            <w:r>
              <w:t>3</w:t>
            </w:r>
            <w:r w:rsidRPr="009C163A">
              <w:t>-</w:t>
            </w:r>
            <w:r>
              <w:t>03-09</w:t>
            </w:r>
            <w:r w:rsidRPr="009C163A">
              <w:t>/</w:t>
            </w:r>
            <w:r w:rsidR="00C75E13">
              <w:t>P14</w:t>
            </w:r>
          </w:p>
          <w:p w14:paraId="6F2D7A09" w14:textId="0832C66E" w:rsidR="00454CB5" w:rsidRPr="000715BD" w:rsidRDefault="00454CB5" w:rsidP="00454CB5">
            <w:pPr>
              <w:jc w:val="right"/>
            </w:pPr>
            <w:r w:rsidRPr="00890889">
              <w:rPr>
                <w:sz w:val="18"/>
                <w:szCs w:val="18"/>
              </w:rPr>
              <w:t>CONFIDENTIAL</w:t>
            </w:r>
          </w:p>
        </w:tc>
      </w:tr>
      <w:tr w:rsidR="00454CB5" w:rsidRPr="008A753B" w14:paraId="351552D5" w14:textId="77777777" w:rsidTr="395DEB2E">
        <w:tc>
          <w:tcPr>
            <w:tcW w:w="1844" w:type="dxa"/>
            <w:tcBorders>
              <w:top w:val="single" w:sz="4" w:space="0" w:color="auto"/>
              <w:bottom w:val="single" w:sz="4" w:space="0" w:color="auto"/>
            </w:tcBorders>
          </w:tcPr>
          <w:p w14:paraId="6FFF6491" w14:textId="002475EF" w:rsidR="00454CB5" w:rsidRPr="008A753B" w:rsidRDefault="00454CB5" w:rsidP="00454CB5">
            <w:pPr>
              <w:spacing w:before="60" w:after="60"/>
              <w:ind w:left="-106" w:right="-108"/>
              <w:rPr>
                <w:sz w:val="24"/>
                <w:szCs w:val="24"/>
              </w:rPr>
            </w:pPr>
            <w:r>
              <w:rPr>
                <w:sz w:val="24"/>
                <w:szCs w:val="24"/>
              </w:rPr>
              <w:t>16</w:t>
            </w:r>
            <w:r w:rsidRPr="008A753B">
              <w:rPr>
                <w:sz w:val="24"/>
                <w:szCs w:val="24"/>
              </w:rPr>
              <w:t>.1</w:t>
            </w:r>
          </w:p>
        </w:tc>
        <w:tc>
          <w:tcPr>
            <w:tcW w:w="8226" w:type="dxa"/>
            <w:gridSpan w:val="2"/>
            <w:tcBorders>
              <w:top w:val="single" w:sz="4" w:space="0" w:color="auto"/>
              <w:bottom w:val="single" w:sz="4" w:space="0" w:color="auto"/>
            </w:tcBorders>
          </w:tcPr>
          <w:p w14:paraId="33C203B7" w14:textId="4B9122E3" w:rsidR="00454CB5" w:rsidRPr="008A753B" w:rsidRDefault="00E412E3" w:rsidP="00454CB5">
            <w:pPr>
              <w:spacing w:before="60" w:after="60"/>
              <w:rPr>
                <w:sz w:val="24"/>
                <w:szCs w:val="24"/>
              </w:rPr>
            </w:pPr>
            <w:r>
              <w:rPr>
                <w:sz w:val="24"/>
                <w:szCs w:val="24"/>
              </w:rPr>
              <w:t xml:space="preserve">It was noted that work was ongoing to reduce </w:t>
            </w:r>
            <w:r w:rsidR="00386E3F">
              <w:rPr>
                <w:sz w:val="24"/>
                <w:szCs w:val="24"/>
              </w:rPr>
              <w:t xml:space="preserve">the </w:t>
            </w:r>
            <w:r w:rsidR="00D76294">
              <w:rPr>
                <w:sz w:val="24"/>
                <w:szCs w:val="24"/>
              </w:rPr>
              <w:t xml:space="preserve">number of requests </w:t>
            </w:r>
            <w:r>
              <w:rPr>
                <w:sz w:val="24"/>
                <w:szCs w:val="24"/>
              </w:rPr>
              <w:t xml:space="preserve">to waive the </w:t>
            </w:r>
            <w:r w:rsidR="00A166EE">
              <w:rPr>
                <w:sz w:val="24"/>
                <w:szCs w:val="24"/>
              </w:rPr>
              <w:t xml:space="preserve">Financial </w:t>
            </w:r>
            <w:r>
              <w:rPr>
                <w:sz w:val="24"/>
                <w:szCs w:val="24"/>
              </w:rPr>
              <w:t>Regulations and the CFO anticipated that a task for the new Head of Procurement (currently being recruited as the current postholder was leaving the University) would be to review the waiver process.</w:t>
            </w:r>
          </w:p>
        </w:tc>
      </w:tr>
      <w:tr w:rsidR="00454CB5" w:rsidRPr="008A753B" w14:paraId="0AF051A5" w14:textId="77777777" w:rsidTr="395DEB2E">
        <w:trPr>
          <w:cantSplit/>
        </w:trPr>
        <w:tc>
          <w:tcPr>
            <w:tcW w:w="1844" w:type="dxa"/>
            <w:tcBorders>
              <w:top w:val="single" w:sz="4" w:space="0" w:color="auto"/>
              <w:bottom w:val="single" w:sz="4" w:space="0" w:color="auto"/>
            </w:tcBorders>
            <w:shd w:val="clear" w:color="auto" w:fill="D9D9D9" w:themeFill="background1" w:themeFillShade="D9"/>
          </w:tcPr>
          <w:p w14:paraId="729BB4FB" w14:textId="020084C3" w:rsidR="00454CB5" w:rsidRPr="00826269" w:rsidRDefault="00454CB5" w:rsidP="00454CB5">
            <w:pPr>
              <w:pStyle w:val="Heading3"/>
              <w:spacing w:before="60" w:after="60"/>
              <w:ind w:left="-106" w:right="-108"/>
              <w:rPr>
                <w:sz w:val="20"/>
                <w:szCs w:val="20"/>
              </w:rPr>
            </w:pPr>
            <w:r w:rsidRPr="009C163A">
              <w:t>ARC/202</w:t>
            </w:r>
            <w:r>
              <w:t>3</w:t>
            </w:r>
            <w:r w:rsidRPr="009C163A">
              <w:t>-</w:t>
            </w:r>
            <w:r>
              <w:t xml:space="preserve"> 03-09</w:t>
            </w:r>
            <w:r w:rsidRPr="009C163A">
              <w:t>/</w:t>
            </w:r>
            <w:r>
              <w:t>17</w:t>
            </w:r>
          </w:p>
        </w:tc>
        <w:tc>
          <w:tcPr>
            <w:tcW w:w="6379" w:type="dxa"/>
            <w:tcBorders>
              <w:top w:val="single" w:sz="4" w:space="0" w:color="auto"/>
              <w:bottom w:val="single" w:sz="4" w:space="0" w:color="auto"/>
            </w:tcBorders>
            <w:shd w:val="clear" w:color="auto" w:fill="D9D9D9" w:themeFill="background1" w:themeFillShade="D9"/>
          </w:tcPr>
          <w:p w14:paraId="5A7AFB04" w14:textId="211FC9AE" w:rsidR="00454CB5" w:rsidRPr="008A753B" w:rsidRDefault="00454CB5" w:rsidP="00454CB5">
            <w:pPr>
              <w:pStyle w:val="Heading2"/>
            </w:pPr>
            <w:r w:rsidRPr="00AC5883">
              <w:rPr>
                <w:bCs/>
                <w:szCs w:val="24"/>
              </w:rPr>
              <w:t>REPORTABLE EVENT NOTIFICATION TO THE OFFICE FOR STUDENTS’</w:t>
            </w:r>
          </w:p>
        </w:tc>
        <w:tc>
          <w:tcPr>
            <w:tcW w:w="1847" w:type="dxa"/>
            <w:tcBorders>
              <w:top w:val="single" w:sz="4" w:space="0" w:color="auto"/>
              <w:bottom w:val="single" w:sz="4" w:space="0" w:color="auto"/>
            </w:tcBorders>
            <w:shd w:val="clear" w:color="auto" w:fill="D9D9D9" w:themeFill="background1" w:themeFillShade="D9"/>
          </w:tcPr>
          <w:p w14:paraId="7C55E030" w14:textId="56095173" w:rsidR="00454CB5" w:rsidRDefault="00454CB5" w:rsidP="00454CB5">
            <w:pPr>
              <w:pStyle w:val="Heading3"/>
              <w:spacing w:before="60" w:after="60"/>
              <w:ind w:left="-113" w:right="-109"/>
              <w:jc w:val="right"/>
            </w:pPr>
            <w:r w:rsidRPr="009C163A">
              <w:t>ARC/202</w:t>
            </w:r>
            <w:r>
              <w:t>3</w:t>
            </w:r>
            <w:r w:rsidRPr="009C163A">
              <w:t>-</w:t>
            </w:r>
            <w:r>
              <w:t>03-09</w:t>
            </w:r>
            <w:r w:rsidRPr="009C163A">
              <w:t>/</w:t>
            </w:r>
            <w:r w:rsidR="00D92D03">
              <w:t>P15</w:t>
            </w:r>
          </w:p>
          <w:p w14:paraId="3AFCAFC8" w14:textId="05868DBF" w:rsidR="00454CB5" w:rsidRPr="000715BD" w:rsidRDefault="00454CB5" w:rsidP="00454CB5">
            <w:pPr>
              <w:jc w:val="right"/>
            </w:pPr>
            <w:r w:rsidRPr="00890889">
              <w:rPr>
                <w:sz w:val="18"/>
                <w:szCs w:val="18"/>
              </w:rPr>
              <w:t>CONFIDENTIAL</w:t>
            </w:r>
          </w:p>
        </w:tc>
      </w:tr>
      <w:tr w:rsidR="00454CB5" w:rsidRPr="008A753B" w14:paraId="0DD8695A" w14:textId="77777777" w:rsidTr="395DEB2E">
        <w:tc>
          <w:tcPr>
            <w:tcW w:w="1844" w:type="dxa"/>
            <w:tcBorders>
              <w:top w:val="single" w:sz="4" w:space="0" w:color="auto"/>
              <w:bottom w:val="single" w:sz="4" w:space="0" w:color="auto"/>
            </w:tcBorders>
          </w:tcPr>
          <w:p w14:paraId="4078CD15" w14:textId="2B9E9DBB" w:rsidR="00454CB5" w:rsidRPr="008A753B" w:rsidRDefault="00454CB5" w:rsidP="00454CB5">
            <w:pPr>
              <w:spacing w:before="60" w:after="60"/>
              <w:ind w:left="-106" w:right="-108"/>
              <w:rPr>
                <w:sz w:val="24"/>
                <w:szCs w:val="24"/>
              </w:rPr>
            </w:pPr>
            <w:r>
              <w:rPr>
                <w:sz w:val="24"/>
                <w:szCs w:val="24"/>
              </w:rPr>
              <w:t>17.1</w:t>
            </w:r>
          </w:p>
        </w:tc>
        <w:tc>
          <w:tcPr>
            <w:tcW w:w="8226" w:type="dxa"/>
            <w:gridSpan w:val="2"/>
            <w:tcBorders>
              <w:top w:val="single" w:sz="4" w:space="0" w:color="auto"/>
              <w:bottom w:val="single" w:sz="4" w:space="0" w:color="auto"/>
            </w:tcBorders>
          </w:tcPr>
          <w:p w14:paraId="7560638F" w14:textId="784CFB80" w:rsidR="00454CB5" w:rsidRPr="008A753B" w:rsidRDefault="003207EA" w:rsidP="00454CB5">
            <w:pPr>
              <w:spacing w:before="60" w:after="60"/>
              <w:rPr>
                <w:sz w:val="24"/>
                <w:szCs w:val="24"/>
              </w:rPr>
            </w:pPr>
            <w:r>
              <w:rPr>
                <w:color w:val="000000" w:themeColor="text1"/>
                <w:sz w:val="24"/>
                <w:szCs w:val="24"/>
              </w:rPr>
              <w:t>A minute confidential to the Committee was recorded.</w:t>
            </w:r>
          </w:p>
        </w:tc>
      </w:tr>
      <w:tr w:rsidR="00454CB5" w:rsidRPr="008A753B" w14:paraId="7CEA1673" w14:textId="77777777" w:rsidTr="395DEB2E">
        <w:trPr>
          <w:cantSplit/>
        </w:trPr>
        <w:tc>
          <w:tcPr>
            <w:tcW w:w="1844" w:type="dxa"/>
            <w:tcBorders>
              <w:top w:val="single" w:sz="4" w:space="0" w:color="auto"/>
              <w:bottom w:val="single" w:sz="4" w:space="0" w:color="auto"/>
            </w:tcBorders>
            <w:shd w:val="clear" w:color="auto" w:fill="D9D9D9" w:themeFill="background1" w:themeFillShade="D9"/>
          </w:tcPr>
          <w:p w14:paraId="558D0167" w14:textId="029073A5" w:rsidR="00454CB5" w:rsidRPr="00826269" w:rsidRDefault="00454CB5" w:rsidP="00454CB5">
            <w:pPr>
              <w:pStyle w:val="Heading3"/>
              <w:spacing w:before="60" w:after="60"/>
              <w:ind w:left="-106" w:right="-108"/>
              <w:rPr>
                <w:sz w:val="20"/>
                <w:szCs w:val="20"/>
              </w:rPr>
            </w:pPr>
            <w:r w:rsidRPr="009C163A">
              <w:t>ARC/202</w:t>
            </w:r>
            <w:r>
              <w:t>3</w:t>
            </w:r>
            <w:r w:rsidRPr="009C163A">
              <w:t>-</w:t>
            </w:r>
            <w:r>
              <w:t>03-09</w:t>
            </w:r>
            <w:r w:rsidRPr="009C163A">
              <w:t>/</w:t>
            </w:r>
            <w:r>
              <w:t>18</w:t>
            </w:r>
          </w:p>
        </w:tc>
        <w:tc>
          <w:tcPr>
            <w:tcW w:w="6379" w:type="dxa"/>
            <w:tcBorders>
              <w:top w:val="single" w:sz="4" w:space="0" w:color="auto"/>
              <w:bottom w:val="single" w:sz="4" w:space="0" w:color="auto"/>
            </w:tcBorders>
            <w:shd w:val="clear" w:color="auto" w:fill="D9D9D9" w:themeFill="background1" w:themeFillShade="D9"/>
          </w:tcPr>
          <w:p w14:paraId="1D7BB83E" w14:textId="7C8DAF06" w:rsidR="00454CB5" w:rsidRPr="008A753B" w:rsidRDefault="00454CB5" w:rsidP="00454CB5">
            <w:pPr>
              <w:pStyle w:val="Heading2"/>
            </w:pPr>
            <w:r w:rsidRPr="00FA2811">
              <w:rPr>
                <w:bCs/>
              </w:rPr>
              <w:t>ADDITIONAL WORK CARRIED OUT BY THE EXTERNAL AUDITORS</w:t>
            </w:r>
          </w:p>
        </w:tc>
        <w:tc>
          <w:tcPr>
            <w:tcW w:w="1847" w:type="dxa"/>
            <w:tcBorders>
              <w:top w:val="single" w:sz="4" w:space="0" w:color="auto"/>
              <w:bottom w:val="single" w:sz="4" w:space="0" w:color="auto"/>
            </w:tcBorders>
            <w:shd w:val="clear" w:color="auto" w:fill="D9D9D9" w:themeFill="background1" w:themeFillShade="D9"/>
          </w:tcPr>
          <w:p w14:paraId="2E2DC475" w14:textId="79495F84" w:rsidR="00454CB5" w:rsidRDefault="00454CB5" w:rsidP="00454CB5">
            <w:pPr>
              <w:pStyle w:val="Heading3"/>
              <w:spacing w:before="60" w:after="60"/>
              <w:ind w:left="-113" w:right="-109"/>
              <w:jc w:val="right"/>
            </w:pPr>
            <w:r w:rsidRPr="009C163A">
              <w:t>ARC/202</w:t>
            </w:r>
            <w:r>
              <w:t>3</w:t>
            </w:r>
            <w:r w:rsidRPr="009C163A">
              <w:t>-</w:t>
            </w:r>
            <w:r>
              <w:t>03-09/</w:t>
            </w:r>
            <w:r w:rsidR="00964F1A">
              <w:t>P16</w:t>
            </w:r>
          </w:p>
          <w:p w14:paraId="2E57E49D" w14:textId="691E3A18" w:rsidR="00454CB5" w:rsidRPr="00257546" w:rsidRDefault="00454CB5" w:rsidP="00454CB5">
            <w:pPr>
              <w:jc w:val="right"/>
            </w:pPr>
          </w:p>
        </w:tc>
      </w:tr>
      <w:tr w:rsidR="00454CB5" w:rsidRPr="008A753B" w14:paraId="19A811A8" w14:textId="77777777" w:rsidTr="395DEB2E">
        <w:tc>
          <w:tcPr>
            <w:tcW w:w="1844" w:type="dxa"/>
            <w:tcBorders>
              <w:top w:val="single" w:sz="4" w:space="0" w:color="auto"/>
              <w:bottom w:val="single" w:sz="4" w:space="0" w:color="auto"/>
            </w:tcBorders>
          </w:tcPr>
          <w:p w14:paraId="3B6C3B8E" w14:textId="7402CA43" w:rsidR="00454CB5" w:rsidRPr="008A753B" w:rsidRDefault="00454CB5" w:rsidP="00454CB5">
            <w:pPr>
              <w:spacing w:before="60" w:after="60"/>
              <w:ind w:left="-106" w:right="-108"/>
              <w:rPr>
                <w:sz w:val="24"/>
                <w:szCs w:val="24"/>
              </w:rPr>
            </w:pPr>
            <w:r>
              <w:rPr>
                <w:sz w:val="24"/>
                <w:szCs w:val="24"/>
              </w:rPr>
              <w:t>18.1</w:t>
            </w:r>
          </w:p>
        </w:tc>
        <w:tc>
          <w:tcPr>
            <w:tcW w:w="8226" w:type="dxa"/>
            <w:gridSpan w:val="2"/>
            <w:tcBorders>
              <w:top w:val="single" w:sz="4" w:space="0" w:color="auto"/>
              <w:bottom w:val="single" w:sz="4" w:space="0" w:color="auto"/>
            </w:tcBorders>
          </w:tcPr>
          <w:p w14:paraId="42358124" w14:textId="6D6E3383" w:rsidR="00454CB5" w:rsidRPr="003309C3" w:rsidRDefault="00A166EE" w:rsidP="00454CB5">
            <w:pPr>
              <w:spacing w:before="60" w:after="60"/>
              <w:rPr>
                <w:sz w:val="24"/>
                <w:szCs w:val="24"/>
              </w:rPr>
            </w:pPr>
            <w:r w:rsidRPr="009A55E7">
              <w:rPr>
                <w:sz w:val="24"/>
              </w:rPr>
              <w:t>The Committee noted the report</w:t>
            </w:r>
            <w:r>
              <w:rPr>
                <w:sz w:val="24"/>
              </w:rPr>
              <w:t>.</w:t>
            </w:r>
          </w:p>
        </w:tc>
      </w:tr>
      <w:tr w:rsidR="00454CB5" w:rsidRPr="008A753B" w14:paraId="23624D6C" w14:textId="77777777" w:rsidTr="395DEB2E">
        <w:trPr>
          <w:cantSplit/>
        </w:trPr>
        <w:tc>
          <w:tcPr>
            <w:tcW w:w="1844" w:type="dxa"/>
            <w:tcBorders>
              <w:top w:val="single" w:sz="4" w:space="0" w:color="auto"/>
              <w:bottom w:val="single" w:sz="4" w:space="0" w:color="auto"/>
            </w:tcBorders>
            <w:shd w:val="clear" w:color="auto" w:fill="D9D9D9" w:themeFill="background1" w:themeFillShade="D9"/>
          </w:tcPr>
          <w:p w14:paraId="730E3BEC" w14:textId="37A8552E" w:rsidR="00454CB5" w:rsidRPr="00826269" w:rsidRDefault="00454CB5" w:rsidP="00454CB5">
            <w:pPr>
              <w:pStyle w:val="Heading3"/>
              <w:spacing w:before="60" w:after="60"/>
              <w:ind w:left="-106" w:right="-108"/>
              <w:rPr>
                <w:sz w:val="20"/>
                <w:szCs w:val="20"/>
              </w:rPr>
            </w:pPr>
            <w:r w:rsidRPr="009C163A">
              <w:t>ARC/202</w:t>
            </w:r>
            <w:r>
              <w:t>3</w:t>
            </w:r>
            <w:r w:rsidRPr="009C163A">
              <w:t>-</w:t>
            </w:r>
            <w:r>
              <w:t>03-09</w:t>
            </w:r>
            <w:r w:rsidRPr="009C163A">
              <w:t>/</w:t>
            </w:r>
            <w:r>
              <w:t>19</w:t>
            </w:r>
          </w:p>
        </w:tc>
        <w:tc>
          <w:tcPr>
            <w:tcW w:w="6379" w:type="dxa"/>
            <w:tcBorders>
              <w:top w:val="single" w:sz="4" w:space="0" w:color="auto"/>
              <w:bottom w:val="single" w:sz="4" w:space="0" w:color="auto"/>
            </w:tcBorders>
            <w:shd w:val="clear" w:color="auto" w:fill="D9D9D9" w:themeFill="background1" w:themeFillShade="D9"/>
          </w:tcPr>
          <w:p w14:paraId="041DB15E" w14:textId="3F7F0C6F" w:rsidR="00454CB5" w:rsidRPr="008A753B" w:rsidRDefault="00454CB5" w:rsidP="00454CB5">
            <w:pPr>
              <w:pStyle w:val="Heading2"/>
            </w:pPr>
            <w:r w:rsidRPr="001A1CBA">
              <w:rPr>
                <w:bCs/>
                <w:szCs w:val="24"/>
              </w:rPr>
              <w:t>AUDIT AND RISK COMMITTEE: ANNUAL BUSINESS CYCLE 202</w:t>
            </w:r>
            <w:r>
              <w:rPr>
                <w:bCs/>
                <w:szCs w:val="24"/>
              </w:rPr>
              <w:t>2</w:t>
            </w:r>
            <w:r w:rsidRPr="001A1CBA">
              <w:rPr>
                <w:bCs/>
                <w:szCs w:val="24"/>
              </w:rPr>
              <w:t>/2</w:t>
            </w:r>
            <w:r>
              <w:rPr>
                <w:bCs/>
                <w:szCs w:val="24"/>
              </w:rPr>
              <w:t>3</w:t>
            </w:r>
          </w:p>
        </w:tc>
        <w:tc>
          <w:tcPr>
            <w:tcW w:w="1847" w:type="dxa"/>
            <w:tcBorders>
              <w:top w:val="single" w:sz="4" w:space="0" w:color="auto"/>
              <w:bottom w:val="single" w:sz="4" w:space="0" w:color="auto"/>
            </w:tcBorders>
            <w:shd w:val="clear" w:color="auto" w:fill="D9D9D9" w:themeFill="background1" w:themeFillShade="D9"/>
          </w:tcPr>
          <w:p w14:paraId="7C1B6A56" w14:textId="1DCD754C" w:rsidR="00454CB5" w:rsidRDefault="00454CB5" w:rsidP="00454CB5">
            <w:pPr>
              <w:pStyle w:val="Heading3"/>
              <w:spacing w:before="60" w:after="60"/>
              <w:ind w:left="-113" w:right="-109"/>
              <w:jc w:val="right"/>
            </w:pPr>
            <w:r w:rsidRPr="009C163A">
              <w:t>ARC/202</w:t>
            </w:r>
            <w:r>
              <w:t>3</w:t>
            </w:r>
            <w:r w:rsidRPr="009C163A">
              <w:t>-</w:t>
            </w:r>
            <w:r>
              <w:t>03-09</w:t>
            </w:r>
            <w:r w:rsidRPr="009C163A">
              <w:t>/</w:t>
            </w:r>
            <w:r w:rsidR="00964F1A">
              <w:t>P17</w:t>
            </w:r>
          </w:p>
          <w:p w14:paraId="022A1488" w14:textId="47A78C93" w:rsidR="00454CB5" w:rsidRPr="00257546" w:rsidRDefault="00454CB5" w:rsidP="00454CB5">
            <w:pPr>
              <w:jc w:val="right"/>
            </w:pPr>
          </w:p>
        </w:tc>
      </w:tr>
      <w:tr w:rsidR="00454CB5" w:rsidRPr="008A753B" w14:paraId="12692D1F" w14:textId="77777777" w:rsidTr="395DEB2E">
        <w:tc>
          <w:tcPr>
            <w:tcW w:w="1844" w:type="dxa"/>
            <w:tcBorders>
              <w:top w:val="single" w:sz="4" w:space="0" w:color="auto"/>
              <w:bottom w:val="single" w:sz="4" w:space="0" w:color="auto"/>
            </w:tcBorders>
          </w:tcPr>
          <w:p w14:paraId="57197D4E" w14:textId="4A961A71" w:rsidR="00454CB5" w:rsidRDefault="00454CB5" w:rsidP="00454CB5">
            <w:pPr>
              <w:spacing w:before="60" w:after="60"/>
              <w:ind w:left="-106" w:right="-108"/>
              <w:rPr>
                <w:sz w:val="24"/>
                <w:szCs w:val="24"/>
              </w:rPr>
            </w:pPr>
            <w:r>
              <w:rPr>
                <w:sz w:val="24"/>
                <w:szCs w:val="24"/>
              </w:rPr>
              <w:t>19.1</w:t>
            </w:r>
          </w:p>
        </w:tc>
        <w:tc>
          <w:tcPr>
            <w:tcW w:w="8226" w:type="dxa"/>
            <w:gridSpan w:val="2"/>
            <w:tcBorders>
              <w:top w:val="single" w:sz="4" w:space="0" w:color="auto"/>
              <w:bottom w:val="single" w:sz="4" w:space="0" w:color="auto"/>
            </w:tcBorders>
          </w:tcPr>
          <w:p w14:paraId="07E90B75" w14:textId="37BB29C4" w:rsidR="00454CB5" w:rsidRPr="003309C3" w:rsidRDefault="00A166EE" w:rsidP="00454CB5">
            <w:pPr>
              <w:spacing w:before="60" w:after="60"/>
              <w:rPr>
                <w:rFonts w:cstheme="minorHAnsi"/>
                <w:sz w:val="24"/>
                <w:szCs w:val="24"/>
              </w:rPr>
            </w:pPr>
            <w:r w:rsidRPr="009A55E7">
              <w:rPr>
                <w:sz w:val="24"/>
              </w:rPr>
              <w:t>The Committee noted the report</w:t>
            </w:r>
            <w:r>
              <w:rPr>
                <w:sz w:val="24"/>
              </w:rPr>
              <w:t>.</w:t>
            </w:r>
          </w:p>
        </w:tc>
      </w:tr>
      <w:tr w:rsidR="00454CB5" w:rsidRPr="008A753B" w14:paraId="112A6ADE" w14:textId="77777777" w:rsidTr="395DEB2E">
        <w:trPr>
          <w:cantSplit/>
        </w:trPr>
        <w:tc>
          <w:tcPr>
            <w:tcW w:w="1844" w:type="dxa"/>
            <w:tcBorders>
              <w:top w:val="single" w:sz="4" w:space="0" w:color="auto"/>
              <w:bottom w:val="single" w:sz="4" w:space="0" w:color="auto"/>
            </w:tcBorders>
            <w:shd w:val="clear" w:color="auto" w:fill="D9D9D9" w:themeFill="background1" w:themeFillShade="D9"/>
          </w:tcPr>
          <w:p w14:paraId="706C6A39" w14:textId="6A9211AC" w:rsidR="00454CB5" w:rsidRPr="00826269" w:rsidRDefault="00454CB5" w:rsidP="00454CB5">
            <w:pPr>
              <w:pStyle w:val="Heading3"/>
              <w:spacing w:before="60" w:after="60"/>
              <w:ind w:left="-106" w:right="-108"/>
              <w:rPr>
                <w:sz w:val="20"/>
                <w:szCs w:val="20"/>
              </w:rPr>
            </w:pPr>
            <w:r w:rsidRPr="009C163A">
              <w:t>ARC/202</w:t>
            </w:r>
            <w:r>
              <w:t>3</w:t>
            </w:r>
            <w:r w:rsidRPr="009C163A">
              <w:t>-</w:t>
            </w:r>
            <w:r>
              <w:t>03-09</w:t>
            </w:r>
            <w:r w:rsidRPr="009C163A">
              <w:t>/</w:t>
            </w:r>
            <w:r>
              <w:t>21</w:t>
            </w:r>
          </w:p>
        </w:tc>
        <w:tc>
          <w:tcPr>
            <w:tcW w:w="6379" w:type="dxa"/>
            <w:tcBorders>
              <w:top w:val="single" w:sz="4" w:space="0" w:color="auto"/>
              <w:bottom w:val="single" w:sz="4" w:space="0" w:color="auto"/>
            </w:tcBorders>
            <w:shd w:val="clear" w:color="auto" w:fill="D9D9D9" w:themeFill="background1" w:themeFillShade="D9"/>
          </w:tcPr>
          <w:p w14:paraId="0A33F83C" w14:textId="6B423F97" w:rsidR="00454CB5" w:rsidRPr="008A753B" w:rsidRDefault="00454CB5" w:rsidP="00454CB5">
            <w:pPr>
              <w:pStyle w:val="Heading2"/>
            </w:pPr>
            <w:r>
              <w:t>DATE OF NEXT MEETING</w:t>
            </w:r>
          </w:p>
        </w:tc>
        <w:tc>
          <w:tcPr>
            <w:tcW w:w="1847" w:type="dxa"/>
            <w:tcBorders>
              <w:top w:val="single" w:sz="4" w:space="0" w:color="auto"/>
              <w:bottom w:val="single" w:sz="4" w:space="0" w:color="auto"/>
            </w:tcBorders>
            <w:shd w:val="clear" w:color="auto" w:fill="D9D9D9" w:themeFill="background1" w:themeFillShade="D9"/>
          </w:tcPr>
          <w:p w14:paraId="06C6BC17" w14:textId="47378024" w:rsidR="00454CB5" w:rsidRPr="00CC16EB" w:rsidRDefault="00454CB5" w:rsidP="00454CB5">
            <w:pPr>
              <w:pStyle w:val="Heading3"/>
              <w:spacing w:before="60" w:after="60"/>
              <w:ind w:left="-113" w:right="-109"/>
              <w:jc w:val="right"/>
            </w:pPr>
          </w:p>
        </w:tc>
      </w:tr>
      <w:tr w:rsidR="00454CB5" w:rsidRPr="008A753B" w14:paraId="67499B64" w14:textId="77777777" w:rsidTr="395DEB2E">
        <w:tc>
          <w:tcPr>
            <w:tcW w:w="1844" w:type="dxa"/>
            <w:tcBorders>
              <w:top w:val="single" w:sz="4" w:space="0" w:color="auto"/>
              <w:bottom w:val="single" w:sz="4" w:space="0" w:color="auto"/>
            </w:tcBorders>
          </w:tcPr>
          <w:p w14:paraId="608E3720" w14:textId="60BE1A70" w:rsidR="00454CB5" w:rsidRDefault="00454CB5" w:rsidP="00454CB5">
            <w:pPr>
              <w:spacing w:before="60" w:after="60"/>
              <w:ind w:left="-106" w:right="-108"/>
              <w:rPr>
                <w:sz w:val="24"/>
                <w:szCs w:val="24"/>
              </w:rPr>
            </w:pPr>
            <w:r>
              <w:rPr>
                <w:sz w:val="24"/>
                <w:szCs w:val="24"/>
              </w:rPr>
              <w:t>2</w:t>
            </w:r>
            <w:r w:rsidR="00D76294">
              <w:rPr>
                <w:sz w:val="24"/>
                <w:szCs w:val="24"/>
              </w:rPr>
              <w:t>0</w:t>
            </w:r>
            <w:r>
              <w:rPr>
                <w:sz w:val="24"/>
                <w:szCs w:val="24"/>
              </w:rPr>
              <w:t>.1</w:t>
            </w:r>
          </w:p>
        </w:tc>
        <w:tc>
          <w:tcPr>
            <w:tcW w:w="8226" w:type="dxa"/>
            <w:gridSpan w:val="2"/>
            <w:tcBorders>
              <w:top w:val="single" w:sz="4" w:space="0" w:color="auto"/>
              <w:bottom w:val="single" w:sz="4" w:space="0" w:color="auto"/>
            </w:tcBorders>
          </w:tcPr>
          <w:p w14:paraId="4AE5A722" w14:textId="57292832" w:rsidR="00454CB5" w:rsidRPr="003309C3" w:rsidRDefault="00A166EE" w:rsidP="00454CB5">
            <w:pPr>
              <w:spacing w:before="60" w:after="60"/>
              <w:rPr>
                <w:rFonts w:cstheme="minorHAnsi"/>
                <w:sz w:val="24"/>
                <w:szCs w:val="24"/>
              </w:rPr>
            </w:pPr>
            <w:r>
              <w:rPr>
                <w:color w:val="000000" w:themeColor="text1"/>
                <w:sz w:val="24"/>
                <w:szCs w:val="24"/>
              </w:rPr>
              <w:t>Thursday 22 June 2023, 1600 to 1830</w:t>
            </w:r>
          </w:p>
        </w:tc>
      </w:tr>
    </w:tbl>
    <w:p w14:paraId="701E09A2" w14:textId="121CB021" w:rsidR="00A32100" w:rsidRDefault="00A32100" w:rsidP="00A32100"/>
    <w:sectPr w:rsidR="00A32100" w:rsidSect="00FB57BB">
      <w:headerReference w:type="default" r:id="rId11"/>
      <w:footerReference w:type="default" r:id="rId12"/>
      <w:headerReference w:type="first" r:id="rId13"/>
      <w:footerReference w:type="first" r:id="rId14"/>
      <w:pgSz w:w="11906" w:h="16838"/>
      <w:pgMar w:top="1134" w:right="1134" w:bottom="993" w:left="1440" w:header="426"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2E5F1" w14:textId="77777777" w:rsidR="003959DC" w:rsidRDefault="003959DC" w:rsidP="0000042C">
      <w:pPr>
        <w:spacing w:after="0" w:line="240" w:lineRule="auto"/>
      </w:pPr>
      <w:r>
        <w:separator/>
      </w:r>
    </w:p>
  </w:endnote>
  <w:endnote w:type="continuationSeparator" w:id="0">
    <w:p w14:paraId="326FCF2A" w14:textId="77777777" w:rsidR="003959DC" w:rsidRDefault="003959DC" w:rsidP="0000042C">
      <w:pPr>
        <w:spacing w:after="0" w:line="240" w:lineRule="auto"/>
      </w:pPr>
      <w:r>
        <w:continuationSeparator/>
      </w:r>
    </w:p>
  </w:endnote>
  <w:endnote w:type="continuationNotice" w:id="1">
    <w:p w14:paraId="5F870419" w14:textId="77777777" w:rsidR="003959DC" w:rsidRDefault="003959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621B40"/>
        <w:sz w:val="16"/>
        <w:szCs w:val="16"/>
      </w:rPr>
      <w:id w:val="1218164434"/>
      <w:docPartObj>
        <w:docPartGallery w:val="Page Numbers (Bottom of Page)"/>
        <w:docPartUnique/>
      </w:docPartObj>
    </w:sdtPr>
    <w:sdtEndPr/>
    <w:sdtContent>
      <w:sdt>
        <w:sdtPr>
          <w:rPr>
            <w:color w:val="621B40"/>
            <w:sz w:val="16"/>
            <w:szCs w:val="16"/>
          </w:rPr>
          <w:id w:val="-1769616900"/>
          <w:docPartObj>
            <w:docPartGallery w:val="Page Numbers (Top of Page)"/>
            <w:docPartUnique/>
          </w:docPartObj>
        </w:sdtPr>
        <w:sdtEndPr/>
        <w:sdtContent>
          <w:p w14:paraId="49EE1B61" w14:textId="00157540" w:rsidR="009F2503" w:rsidRPr="009F2503" w:rsidRDefault="009F2503">
            <w:pPr>
              <w:pStyle w:val="Footer"/>
              <w:jc w:val="right"/>
              <w:rPr>
                <w:color w:val="621B40"/>
                <w:sz w:val="16"/>
                <w:szCs w:val="16"/>
              </w:rPr>
            </w:pPr>
            <w:r w:rsidRPr="0000237B">
              <w:rPr>
                <w:sz w:val="16"/>
                <w:szCs w:val="16"/>
              </w:rPr>
              <w:t xml:space="preserve">Page </w:t>
            </w:r>
            <w:r w:rsidRPr="0000237B">
              <w:rPr>
                <w:b/>
                <w:bCs/>
                <w:sz w:val="16"/>
                <w:szCs w:val="16"/>
              </w:rPr>
              <w:fldChar w:fldCharType="begin"/>
            </w:r>
            <w:r w:rsidRPr="0000237B">
              <w:rPr>
                <w:b/>
                <w:bCs/>
                <w:sz w:val="16"/>
                <w:szCs w:val="16"/>
              </w:rPr>
              <w:instrText xml:space="preserve"> PAGE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r w:rsidRPr="0000237B">
              <w:rPr>
                <w:sz w:val="16"/>
                <w:szCs w:val="16"/>
              </w:rPr>
              <w:t xml:space="preserve"> of </w:t>
            </w:r>
            <w:r w:rsidRPr="0000237B">
              <w:rPr>
                <w:b/>
                <w:bCs/>
                <w:sz w:val="16"/>
                <w:szCs w:val="16"/>
              </w:rPr>
              <w:fldChar w:fldCharType="begin"/>
            </w:r>
            <w:r w:rsidRPr="0000237B">
              <w:rPr>
                <w:b/>
                <w:bCs/>
                <w:sz w:val="16"/>
                <w:szCs w:val="16"/>
              </w:rPr>
              <w:instrText xml:space="preserve"> NUMPAGES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p>
        </w:sdtContent>
      </w:sdt>
    </w:sdtContent>
  </w:sdt>
  <w:p w14:paraId="0BD986FC" w14:textId="77777777" w:rsidR="008B3E3D" w:rsidRDefault="008B3E3D" w:rsidP="00556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E018" w14:textId="77777777" w:rsidR="0000237B" w:rsidRPr="00826269" w:rsidRDefault="0000237B" w:rsidP="0000237B">
    <w:pPr>
      <w:pStyle w:val="Footer"/>
      <w:jc w:val="right"/>
      <w:rPr>
        <w:color w:val="621B40"/>
        <w:sz w:val="24"/>
        <w:szCs w:val="24"/>
      </w:rPr>
    </w:pPr>
    <w:r w:rsidRPr="00826269">
      <w:rPr>
        <w:sz w:val="24"/>
        <w:szCs w:val="24"/>
      </w:rPr>
      <w:t xml:space="preserve">Page </w:t>
    </w:r>
    <w:r w:rsidRPr="00826269">
      <w:rPr>
        <w:b/>
        <w:bCs/>
        <w:sz w:val="24"/>
        <w:szCs w:val="24"/>
      </w:rPr>
      <w:fldChar w:fldCharType="begin"/>
    </w:r>
    <w:r w:rsidRPr="00826269">
      <w:rPr>
        <w:b/>
        <w:bCs/>
        <w:sz w:val="24"/>
        <w:szCs w:val="24"/>
      </w:rPr>
      <w:instrText xml:space="preserve"> PAGE </w:instrText>
    </w:r>
    <w:r w:rsidRPr="00826269">
      <w:rPr>
        <w:b/>
        <w:bCs/>
        <w:sz w:val="24"/>
        <w:szCs w:val="24"/>
      </w:rPr>
      <w:fldChar w:fldCharType="separate"/>
    </w:r>
    <w:r w:rsidRPr="00826269">
      <w:rPr>
        <w:b/>
        <w:bCs/>
        <w:sz w:val="24"/>
        <w:szCs w:val="24"/>
      </w:rPr>
      <w:t>2</w:t>
    </w:r>
    <w:r w:rsidRPr="00826269">
      <w:rPr>
        <w:b/>
        <w:bCs/>
        <w:sz w:val="24"/>
        <w:szCs w:val="24"/>
      </w:rPr>
      <w:fldChar w:fldCharType="end"/>
    </w:r>
    <w:r w:rsidRPr="00826269">
      <w:rPr>
        <w:sz w:val="24"/>
        <w:szCs w:val="24"/>
      </w:rPr>
      <w:t xml:space="preserve"> of </w:t>
    </w:r>
    <w:r w:rsidRPr="00826269">
      <w:rPr>
        <w:b/>
        <w:bCs/>
        <w:sz w:val="24"/>
        <w:szCs w:val="24"/>
      </w:rPr>
      <w:fldChar w:fldCharType="begin"/>
    </w:r>
    <w:r w:rsidRPr="00826269">
      <w:rPr>
        <w:b/>
        <w:bCs/>
        <w:sz w:val="24"/>
        <w:szCs w:val="24"/>
      </w:rPr>
      <w:instrText xml:space="preserve"> NUMPAGES  </w:instrText>
    </w:r>
    <w:r w:rsidRPr="00826269">
      <w:rPr>
        <w:b/>
        <w:bCs/>
        <w:sz w:val="24"/>
        <w:szCs w:val="24"/>
      </w:rPr>
      <w:fldChar w:fldCharType="separate"/>
    </w:r>
    <w:r w:rsidRPr="00826269">
      <w:rPr>
        <w:b/>
        <w:bCs/>
        <w:sz w:val="24"/>
        <w:szCs w:val="24"/>
      </w:rPr>
      <w:t>2</w:t>
    </w:r>
    <w:r w:rsidRPr="00826269">
      <w:rPr>
        <w:b/>
        <w:bCs/>
        <w:sz w:val="24"/>
        <w:szCs w:val="24"/>
      </w:rPr>
      <w:fldChar w:fldCharType="end"/>
    </w:r>
  </w:p>
  <w:p w14:paraId="1D0396FB" w14:textId="77777777" w:rsidR="0000237B" w:rsidRDefault="00002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CF07C" w14:textId="77777777" w:rsidR="003959DC" w:rsidRDefault="003959DC" w:rsidP="0000042C">
      <w:pPr>
        <w:spacing w:after="0" w:line="240" w:lineRule="auto"/>
      </w:pPr>
      <w:r>
        <w:separator/>
      </w:r>
    </w:p>
  </w:footnote>
  <w:footnote w:type="continuationSeparator" w:id="0">
    <w:p w14:paraId="1F7D669D" w14:textId="77777777" w:rsidR="003959DC" w:rsidRDefault="003959DC" w:rsidP="0000042C">
      <w:pPr>
        <w:spacing w:after="0" w:line="240" w:lineRule="auto"/>
      </w:pPr>
      <w:r>
        <w:continuationSeparator/>
      </w:r>
    </w:p>
  </w:footnote>
  <w:footnote w:type="continuationNotice" w:id="1">
    <w:p w14:paraId="43A22D7B" w14:textId="77777777" w:rsidR="003959DC" w:rsidRDefault="003959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4961"/>
      <w:gridCol w:w="2693"/>
    </w:tblGrid>
    <w:tr w:rsidR="00FB57BB" w:rsidRPr="00131BC8" w14:paraId="0F6DE17A" w14:textId="77777777" w:rsidTr="00D076A6">
      <w:tc>
        <w:tcPr>
          <w:tcW w:w="2411" w:type="dxa"/>
        </w:tcPr>
        <w:p w14:paraId="1A244A04" w14:textId="77777777" w:rsidR="00FB57BB" w:rsidRPr="0000042C" w:rsidRDefault="00FB57BB" w:rsidP="00FB57BB">
          <w:pPr>
            <w:pStyle w:val="Header"/>
            <w:rPr>
              <w:b/>
              <w:bCs/>
            </w:rPr>
          </w:pPr>
          <w:r w:rsidRPr="0000042C">
            <w:rPr>
              <w:b/>
              <w:bCs/>
              <w:noProof/>
            </w:rPr>
            <w:drawing>
              <wp:inline distT="0" distB="0" distL="0" distR="0" wp14:anchorId="056FBD4C" wp14:editId="2ABDB406">
                <wp:extent cx="894853" cy="480060"/>
                <wp:effectExtent l="0" t="0" r="635" b="0"/>
                <wp:docPr id="9" name="Picture 9"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4961" w:type="dxa"/>
        </w:tcPr>
        <w:p w14:paraId="7D384926" w14:textId="2FD7CBC5" w:rsidR="00FB57BB" w:rsidRPr="00131BC8" w:rsidRDefault="0032578D" w:rsidP="00FB57BB">
          <w:pPr>
            <w:pStyle w:val="Header"/>
            <w:jc w:val="center"/>
            <w:rPr>
              <w:b/>
              <w:bCs/>
              <w:sz w:val="24"/>
              <w:szCs w:val="24"/>
            </w:rPr>
          </w:pPr>
          <w:r>
            <w:rPr>
              <w:b/>
              <w:bCs/>
              <w:sz w:val="24"/>
              <w:szCs w:val="24"/>
            </w:rPr>
            <w:t>AUDIT AND RISK COMMITTEE</w:t>
          </w:r>
        </w:p>
      </w:tc>
      <w:tc>
        <w:tcPr>
          <w:tcW w:w="2693" w:type="dxa"/>
        </w:tcPr>
        <w:p w14:paraId="735B44DE" w14:textId="7911E608" w:rsidR="00FB57BB" w:rsidRPr="0032578D" w:rsidRDefault="009436C2" w:rsidP="00FB57BB">
          <w:pPr>
            <w:pStyle w:val="Header"/>
            <w:jc w:val="right"/>
            <w:rPr>
              <w:b/>
              <w:bCs/>
              <w:sz w:val="24"/>
              <w:szCs w:val="24"/>
            </w:rPr>
          </w:pPr>
          <w:r w:rsidRPr="009436C2">
            <w:rPr>
              <w:b/>
              <w:bCs/>
            </w:rPr>
            <w:t>ARC/202</w:t>
          </w:r>
          <w:r w:rsidR="00A04204">
            <w:rPr>
              <w:b/>
              <w:bCs/>
            </w:rPr>
            <w:t>3</w:t>
          </w:r>
          <w:r w:rsidR="006A408D">
            <w:rPr>
              <w:b/>
              <w:bCs/>
            </w:rPr>
            <w:t>-</w:t>
          </w:r>
          <w:r w:rsidR="00235433">
            <w:rPr>
              <w:b/>
              <w:bCs/>
            </w:rPr>
            <w:t>0</w:t>
          </w:r>
          <w:r w:rsidR="006A408D">
            <w:rPr>
              <w:b/>
              <w:bCs/>
            </w:rPr>
            <w:t>3-09</w:t>
          </w:r>
          <w:r w:rsidRPr="009436C2">
            <w:rPr>
              <w:b/>
              <w:bCs/>
            </w:rPr>
            <w:t>/</w:t>
          </w:r>
          <w:r>
            <w:rPr>
              <w:b/>
              <w:bCs/>
            </w:rPr>
            <w:t>M</w:t>
          </w:r>
        </w:p>
      </w:tc>
    </w:tr>
  </w:tbl>
  <w:p w14:paraId="7272B7C7" w14:textId="0962911D" w:rsidR="008A75E7" w:rsidRDefault="008A7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386"/>
      <w:gridCol w:w="2268"/>
    </w:tblGrid>
    <w:tr w:rsidR="0000237B" w:rsidRPr="00131BC8" w14:paraId="385E976F" w14:textId="77777777">
      <w:tc>
        <w:tcPr>
          <w:tcW w:w="1985" w:type="dxa"/>
        </w:tcPr>
        <w:p w14:paraId="1EDD1CEB" w14:textId="77777777" w:rsidR="0000237B" w:rsidRPr="0000042C" w:rsidRDefault="0000237B" w:rsidP="0000237B">
          <w:pPr>
            <w:pStyle w:val="Header"/>
            <w:rPr>
              <w:b/>
              <w:bCs/>
            </w:rPr>
          </w:pPr>
          <w:r w:rsidRPr="0000042C">
            <w:rPr>
              <w:b/>
              <w:bCs/>
              <w:noProof/>
            </w:rPr>
            <w:drawing>
              <wp:inline distT="0" distB="0" distL="0" distR="0" wp14:anchorId="1FE453DE" wp14:editId="17210FA0">
                <wp:extent cx="894853" cy="480060"/>
                <wp:effectExtent l="0" t="0" r="635" b="0"/>
                <wp:docPr id="8" name="Picture 8"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5386" w:type="dxa"/>
        </w:tcPr>
        <w:p w14:paraId="23AB27DC" w14:textId="77777777" w:rsidR="0000237B" w:rsidRPr="00131BC8" w:rsidRDefault="0000237B" w:rsidP="0000237B">
          <w:pPr>
            <w:pStyle w:val="Header"/>
            <w:jc w:val="center"/>
            <w:rPr>
              <w:b/>
              <w:bCs/>
              <w:sz w:val="24"/>
              <w:szCs w:val="24"/>
            </w:rPr>
          </w:pPr>
          <w:r w:rsidRPr="00131BC8">
            <w:rPr>
              <w:b/>
              <w:bCs/>
              <w:sz w:val="24"/>
              <w:szCs w:val="24"/>
            </w:rPr>
            <w:t>[COMMITTEE NAME]</w:t>
          </w:r>
        </w:p>
      </w:tc>
      <w:tc>
        <w:tcPr>
          <w:tcW w:w="2268" w:type="dxa"/>
        </w:tcPr>
        <w:p w14:paraId="7824D725" w14:textId="58C41255" w:rsidR="0000237B" w:rsidRPr="00131BC8" w:rsidRDefault="0000237B" w:rsidP="0000237B">
          <w:pPr>
            <w:pStyle w:val="Header"/>
            <w:jc w:val="right"/>
            <w:rPr>
              <w:b/>
              <w:bCs/>
              <w:sz w:val="24"/>
              <w:szCs w:val="24"/>
            </w:rPr>
          </w:pPr>
          <w:r w:rsidRPr="00131BC8">
            <w:rPr>
              <w:b/>
              <w:bCs/>
              <w:sz w:val="24"/>
              <w:szCs w:val="24"/>
            </w:rPr>
            <w:t>[COM/</w:t>
          </w:r>
          <w:r w:rsidR="00AA6DE3">
            <w:rPr>
              <w:b/>
              <w:bCs/>
              <w:sz w:val="24"/>
              <w:szCs w:val="24"/>
            </w:rPr>
            <w:t>YY</w:t>
          </w:r>
          <w:r w:rsidRPr="00131BC8">
            <w:rPr>
              <w:b/>
              <w:bCs/>
              <w:sz w:val="24"/>
              <w:szCs w:val="24"/>
            </w:rPr>
            <w:t>/MM</w:t>
          </w:r>
          <w:r w:rsidR="008A75E7">
            <w:rPr>
              <w:b/>
              <w:bCs/>
              <w:sz w:val="24"/>
              <w:szCs w:val="24"/>
            </w:rPr>
            <w:t>/</w:t>
          </w:r>
          <w:r w:rsidRPr="00131BC8">
            <w:rPr>
              <w:b/>
              <w:bCs/>
              <w:sz w:val="24"/>
              <w:szCs w:val="24"/>
            </w:rPr>
            <w:t>M]</w:t>
          </w:r>
        </w:p>
      </w:tc>
    </w:tr>
  </w:tbl>
  <w:p w14:paraId="1211EEBF" w14:textId="77777777" w:rsidR="0000237B" w:rsidRDefault="00002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4496"/>
    <w:multiLevelType w:val="hybridMultilevel"/>
    <w:tmpl w:val="F0E40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449CD"/>
    <w:multiLevelType w:val="hybridMultilevel"/>
    <w:tmpl w:val="EFB46C56"/>
    <w:lvl w:ilvl="0" w:tplc="CD163A6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5328AB"/>
    <w:multiLevelType w:val="hybridMultilevel"/>
    <w:tmpl w:val="9CB8E40A"/>
    <w:lvl w:ilvl="0" w:tplc="EFAC34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E2921"/>
    <w:multiLevelType w:val="hybridMultilevel"/>
    <w:tmpl w:val="6F023CC0"/>
    <w:lvl w:ilvl="0" w:tplc="9F02B98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D0373D"/>
    <w:multiLevelType w:val="hybridMultilevel"/>
    <w:tmpl w:val="625831DA"/>
    <w:lvl w:ilvl="0" w:tplc="6B16896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F292A"/>
    <w:multiLevelType w:val="hybridMultilevel"/>
    <w:tmpl w:val="453A3618"/>
    <w:lvl w:ilvl="0" w:tplc="5128DEE2">
      <w:start w:val="1"/>
      <w:numFmt w:val="lowerRoman"/>
      <w:lvlText w:val="%1."/>
      <w:lvlJc w:val="left"/>
      <w:pPr>
        <w:ind w:left="1080" w:hanging="72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4E311D"/>
    <w:multiLevelType w:val="hybridMultilevel"/>
    <w:tmpl w:val="BDDE97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4646617"/>
    <w:multiLevelType w:val="hybridMultilevel"/>
    <w:tmpl w:val="40A67A9E"/>
    <w:lvl w:ilvl="0" w:tplc="7E2868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3140AD"/>
    <w:multiLevelType w:val="hybridMultilevel"/>
    <w:tmpl w:val="D764B6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9E92817"/>
    <w:multiLevelType w:val="hybridMultilevel"/>
    <w:tmpl w:val="8FF425A6"/>
    <w:lvl w:ilvl="0" w:tplc="AA7CCF7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5F2614"/>
    <w:multiLevelType w:val="hybridMultilevel"/>
    <w:tmpl w:val="F90E0F3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D152E8E"/>
    <w:multiLevelType w:val="hybridMultilevel"/>
    <w:tmpl w:val="021669A0"/>
    <w:lvl w:ilvl="0" w:tplc="D41A78C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7F7636"/>
    <w:multiLevelType w:val="hybridMultilevel"/>
    <w:tmpl w:val="5F40B9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78A55DD"/>
    <w:multiLevelType w:val="hybridMultilevel"/>
    <w:tmpl w:val="7AB862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A61672D"/>
    <w:multiLevelType w:val="hybridMultilevel"/>
    <w:tmpl w:val="D16CA0CA"/>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216ECA"/>
    <w:multiLevelType w:val="hybridMultilevel"/>
    <w:tmpl w:val="FE56CED8"/>
    <w:lvl w:ilvl="0" w:tplc="6A84AED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114385"/>
    <w:multiLevelType w:val="hybridMultilevel"/>
    <w:tmpl w:val="130C3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62F03A3"/>
    <w:multiLevelType w:val="hybridMultilevel"/>
    <w:tmpl w:val="6AE430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9F01D37"/>
    <w:multiLevelType w:val="hybridMultilevel"/>
    <w:tmpl w:val="0BE2293A"/>
    <w:lvl w:ilvl="0" w:tplc="1A90896A">
      <w:start w:val="1"/>
      <w:numFmt w:val="lowerRoman"/>
      <w:lvlText w:val="%1."/>
      <w:lvlJc w:val="left"/>
      <w:pPr>
        <w:ind w:left="1080" w:hanging="72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901020"/>
    <w:multiLevelType w:val="hybridMultilevel"/>
    <w:tmpl w:val="846CC246"/>
    <w:lvl w:ilvl="0" w:tplc="0809000F">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3D31EA"/>
    <w:multiLevelType w:val="hybridMultilevel"/>
    <w:tmpl w:val="251E3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3946990"/>
    <w:multiLevelType w:val="hybridMultilevel"/>
    <w:tmpl w:val="B0F2DB2A"/>
    <w:lvl w:ilvl="0" w:tplc="E1FE5F8A">
      <w:start w:val="13"/>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3B43A99"/>
    <w:multiLevelType w:val="hybridMultilevel"/>
    <w:tmpl w:val="D10C5EF6"/>
    <w:lvl w:ilvl="0" w:tplc="FFE8FC1E">
      <w:start w:val="1"/>
      <w:numFmt w:val="lowerRoman"/>
      <w:lvlText w:val="%1."/>
      <w:lvlJc w:val="left"/>
      <w:pPr>
        <w:ind w:left="1080" w:hanging="72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A70B20"/>
    <w:multiLevelType w:val="hybridMultilevel"/>
    <w:tmpl w:val="007E5E74"/>
    <w:lvl w:ilvl="0" w:tplc="FFFFFFFF">
      <w:start w:val="1"/>
      <w:numFmt w:val="decimal"/>
      <w:lvlText w:val="%1."/>
      <w:lvlJc w:val="left"/>
      <w:pPr>
        <w:ind w:left="72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DC55FD"/>
    <w:multiLevelType w:val="hybridMultilevel"/>
    <w:tmpl w:val="22F225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C4D0AD7"/>
    <w:multiLevelType w:val="hybridMultilevel"/>
    <w:tmpl w:val="638A3FE6"/>
    <w:lvl w:ilvl="0" w:tplc="7FC6609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05C4B87"/>
    <w:multiLevelType w:val="hybridMultilevel"/>
    <w:tmpl w:val="F7D2B4C8"/>
    <w:lvl w:ilvl="0" w:tplc="D7AC9CB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802F40"/>
    <w:multiLevelType w:val="hybridMultilevel"/>
    <w:tmpl w:val="846CC246"/>
    <w:lvl w:ilvl="0" w:tplc="FFFFFFFF">
      <w:start w:val="1"/>
      <w:numFmt w:val="decimal"/>
      <w:lvlText w:val="%1."/>
      <w:lvlJc w:val="left"/>
      <w:pPr>
        <w:ind w:left="720" w:hanging="72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55E736A"/>
    <w:multiLevelType w:val="hybridMultilevel"/>
    <w:tmpl w:val="563CAD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94352DF"/>
    <w:multiLevelType w:val="hybridMultilevel"/>
    <w:tmpl w:val="0A42E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A14B1F"/>
    <w:multiLevelType w:val="hybridMultilevel"/>
    <w:tmpl w:val="9906E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0589177">
    <w:abstractNumId w:val="16"/>
  </w:num>
  <w:num w:numId="2" w16cid:durableId="1012413389">
    <w:abstractNumId w:val="3"/>
  </w:num>
  <w:num w:numId="3" w16cid:durableId="905142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4253531">
    <w:abstractNumId w:val="3"/>
  </w:num>
  <w:num w:numId="5" w16cid:durableId="1470395732">
    <w:abstractNumId w:val="29"/>
  </w:num>
  <w:num w:numId="6" w16cid:durableId="874973627">
    <w:abstractNumId w:val="28"/>
  </w:num>
  <w:num w:numId="7" w16cid:durableId="365566777">
    <w:abstractNumId w:val="10"/>
  </w:num>
  <w:num w:numId="8" w16cid:durableId="1641567382">
    <w:abstractNumId w:val="14"/>
  </w:num>
  <w:num w:numId="9" w16cid:durableId="993415063">
    <w:abstractNumId w:val="6"/>
  </w:num>
  <w:num w:numId="10" w16cid:durableId="364258091">
    <w:abstractNumId w:val="17"/>
  </w:num>
  <w:num w:numId="11" w16cid:durableId="876501690">
    <w:abstractNumId w:val="20"/>
  </w:num>
  <w:num w:numId="12" w16cid:durableId="1452555703">
    <w:abstractNumId w:val="30"/>
  </w:num>
  <w:num w:numId="13" w16cid:durableId="1855921935">
    <w:abstractNumId w:val="5"/>
  </w:num>
  <w:num w:numId="14" w16cid:durableId="1021316196">
    <w:abstractNumId w:val="22"/>
  </w:num>
  <w:num w:numId="15" w16cid:durableId="460459959">
    <w:abstractNumId w:val="18"/>
  </w:num>
  <w:num w:numId="16" w16cid:durableId="1604654954">
    <w:abstractNumId w:val="26"/>
  </w:num>
  <w:num w:numId="17" w16cid:durableId="422183991">
    <w:abstractNumId w:val="11"/>
  </w:num>
  <w:num w:numId="18" w16cid:durableId="1682123717">
    <w:abstractNumId w:val="1"/>
  </w:num>
  <w:num w:numId="19" w16cid:durableId="389156854">
    <w:abstractNumId w:val="2"/>
  </w:num>
  <w:num w:numId="20" w16cid:durableId="1018434925">
    <w:abstractNumId w:val="15"/>
  </w:num>
  <w:num w:numId="21" w16cid:durableId="1126847962">
    <w:abstractNumId w:val="9"/>
  </w:num>
  <w:num w:numId="22" w16cid:durableId="715466051">
    <w:abstractNumId w:val="4"/>
  </w:num>
  <w:num w:numId="23" w16cid:durableId="1443107161">
    <w:abstractNumId w:val="7"/>
  </w:num>
  <w:num w:numId="24" w16cid:durableId="1758206323">
    <w:abstractNumId w:val="0"/>
  </w:num>
  <w:num w:numId="25" w16cid:durableId="1690178633">
    <w:abstractNumId w:val="24"/>
  </w:num>
  <w:num w:numId="26" w16cid:durableId="1768193656">
    <w:abstractNumId w:val="8"/>
  </w:num>
  <w:num w:numId="27" w16cid:durableId="585771121">
    <w:abstractNumId w:val="12"/>
  </w:num>
  <w:num w:numId="28" w16cid:durableId="644428550">
    <w:abstractNumId w:val="13"/>
  </w:num>
  <w:num w:numId="29" w16cid:durableId="1033650787">
    <w:abstractNumId w:val="19"/>
  </w:num>
  <w:num w:numId="30" w16cid:durableId="1486777111">
    <w:abstractNumId w:val="27"/>
  </w:num>
  <w:num w:numId="31" w16cid:durableId="154154546">
    <w:abstractNumId w:val="23"/>
  </w:num>
  <w:num w:numId="32" w16cid:durableId="1087485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sjrG5tJ2q7dfJpdIZTWwPXiAATRI+yydaSO6VPuBBzuXGRp6Og740AwI36hwFdKO7DGgwEo6TwUj2IwTiNWkhA==" w:salt="Ox/oCNpm+hpv0KO8ASrfv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42C"/>
    <w:rsid w:val="00000664"/>
    <w:rsid w:val="0000143F"/>
    <w:rsid w:val="000021F2"/>
    <w:rsid w:val="0000237B"/>
    <w:rsid w:val="00002395"/>
    <w:rsid w:val="00010FD6"/>
    <w:rsid w:val="00012261"/>
    <w:rsid w:val="000151DD"/>
    <w:rsid w:val="000212D1"/>
    <w:rsid w:val="00021930"/>
    <w:rsid w:val="00022310"/>
    <w:rsid w:val="000236E1"/>
    <w:rsid w:val="00024F10"/>
    <w:rsid w:val="0002724F"/>
    <w:rsid w:val="000276AD"/>
    <w:rsid w:val="00031FAC"/>
    <w:rsid w:val="000322AB"/>
    <w:rsid w:val="00034317"/>
    <w:rsid w:val="000556C2"/>
    <w:rsid w:val="00060BD9"/>
    <w:rsid w:val="00063715"/>
    <w:rsid w:val="00070928"/>
    <w:rsid w:val="000715BD"/>
    <w:rsid w:val="000A3273"/>
    <w:rsid w:val="000A582C"/>
    <w:rsid w:val="000B2703"/>
    <w:rsid w:val="000C29D9"/>
    <w:rsid w:val="000C39A5"/>
    <w:rsid w:val="000C3EDD"/>
    <w:rsid w:val="000C5DD7"/>
    <w:rsid w:val="000D5C69"/>
    <w:rsid w:val="000D79CD"/>
    <w:rsid w:val="000E4243"/>
    <w:rsid w:val="000E7A1F"/>
    <w:rsid w:val="000F5D9D"/>
    <w:rsid w:val="000F66F0"/>
    <w:rsid w:val="0010528A"/>
    <w:rsid w:val="00105BB2"/>
    <w:rsid w:val="00106963"/>
    <w:rsid w:val="0010735F"/>
    <w:rsid w:val="00110AC7"/>
    <w:rsid w:val="00112F05"/>
    <w:rsid w:val="00122766"/>
    <w:rsid w:val="00131BC8"/>
    <w:rsid w:val="0013582A"/>
    <w:rsid w:val="001365FD"/>
    <w:rsid w:val="00143F29"/>
    <w:rsid w:val="00146653"/>
    <w:rsid w:val="00151ECE"/>
    <w:rsid w:val="00155024"/>
    <w:rsid w:val="00155234"/>
    <w:rsid w:val="001616F8"/>
    <w:rsid w:val="0017127F"/>
    <w:rsid w:val="00172CB8"/>
    <w:rsid w:val="00173C6D"/>
    <w:rsid w:val="00180B6A"/>
    <w:rsid w:val="001905AE"/>
    <w:rsid w:val="00194BA4"/>
    <w:rsid w:val="001A3324"/>
    <w:rsid w:val="001A4393"/>
    <w:rsid w:val="001B1CF1"/>
    <w:rsid w:val="001B6E03"/>
    <w:rsid w:val="001B6FBF"/>
    <w:rsid w:val="001C199D"/>
    <w:rsid w:val="001C36EB"/>
    <w:rsid w:val="001E6829"/>
    <w:rsid w:val="001F31AA"/>
    <w:rsid w:val="002017E3"/>
    <w:rsid w:val="00204CD9"/>
    <w:rsid w:val="00205499"/>
    <w:rsid w:val="002123DF"/>
    <w:rsid w:val="002161A7"/>
    <w:rsid w:val="00221599"/>
    <w:rsid w:val="00221B95"/>
    <w:rsid w:val="00222CB0"/>
    <w:rsid w:val="00223007"/>
    <w:rsid w:val="002272F5"/>
    <w:rsid w:val="0023122B"/>
    <w:rsid w:val="00235433"/>
    <w:rsid w:val="002364C4"/>
    <w:rsid w:val="002379AB"/>
    <w:rsid w:val="00241E98"/>
    <w:rsid w:val="00245C2B"/>
    <w:rsid w:val="002549E6"/>
    <w:rsid w:val="00256805"/>
    <w:rsid w:val="00257546"/>
    <w:rsid w:val="00261FCC"/>
    <w:rsid w:val="00272050"/>
    <w:rsid w:val="0027281E"/>
    <w:rsid w:val="0027363B"/>
    <w:rsid w:val="002809E2"/>
    <w:rsid w:val="00282CD0"/>
    <w:rsid w:val="00284863"/>
    <w:rsid w:val="00286D0A"/>
    <w:rsid w:val="00291DD7"/>
    <w:rsid w:val="0029359E"/>
    <w:rsid w:val="00295C84"/>
    <w:rsid w:val="00296C81"/>
    <w:rsid w:val="002A4D76"/>
    <w:rsid w:val="002A78CD"/>
    <w:rsid w:val="002B46E3"/>
    <w:rsid w:val="002B4928"/>
    <w:rsid w:val="002B5393"/>
    <w:rsid w:val="002B5A77"/>
    <w:rsid w:val="002B6CC1"/>
    <w:rsid w:val="002D430D"/>
    <w:rsid w:val="002D5AAF"/>
    <w:rsid w:val="002E76CC"/>
    <w:rsid w:val="002F4385"/>
    <w:rsid w:val="002F4CA3"/>
    <w:rsid w:val="00305F2C"/>
    <w:rsid w:val="0031313F"/>
    <w:rsid w:val="003207EA"/>
    <w:rsid w:val="003219CA"/>
    <w:rsid w:val="0032578D"/>
    <w:rsid w:val="0032642D"/>
    <w:rsid w:val="00327A2D"/>
    <w:rsid w:val="003309C3"/>
    <w:rsid w:val="00340505"/>
    <w:rsid w:val="003441FC"/>
    <w:rsid w:val="003503D7"/>
    <w:rsid w:val="003533E6"/>
    <w:rsid w:val="00355AA2"/>
    <w:rsid w:val="00361C87"/>
    <w:rsid w:val="00370FBE"/>
    <w:rsid w:val="00371445"/>
    <w:rsid w:val="00382C18"/>
    <w:rsid w:val="00385270"/>
    <w:rsid w:val="00386E3F"/>
    <w:rsid w:val="00391F17"/>
    <w:rsid w:val="00392682"/>
    <w:rsid w:val="003959DC"/>
    <w:rsid w:val="003A2780"/>
    <w:rsid w:val="003A415B"/>
    <w:rsid w:val="003A56C1"/>
    <w:rsid w:val="003A620C"/>
    <w:rsid w:val="003B608F"/>
    <w:rsid w:val="003C16ED"/>
    <w:rsid w:val="003C4F83"/>
    <w:rsid w:val="003C5301"/>
    <w:rsid w:val="003C5744"/>
    <w:rsid w:val="003D289E"/>
    <w:rsid w:val="003D7E5D"/>
    <w:rsid w:val="003E07A9"/>
    <w:rsid w:val="003E0A6A"/>
    <w:rsid w:val="003E2820"/>
    <w:rsid w:val="003E6399"/>
    <w:rsid w:val="003E672E"/>
    <w:rsid w:val="003E6E16"/>
    <w:rsid w:val="003E7A3F"/>
    <w:rsid w:val="003F0868"/>
    <w:rsid w:val="003F545E"/>
    <w:rsid w:val="00404C17"/>
    <w:rsid w:val="00406AB3"/>
    <w:rsid w:val="00415F9F"/>
    <w:rsid w:val="00417DB5"/>
    <w:rsid w:val="0042719E"/>
    <w:rsid w:val="00427A0C"/>
    <w:rsid w:val="00433B46"/>
    <w:rsid w:val="0044134F"/>
    <w:rsid w:val="00443309"/>
    <w:rsid w:val="00454CB5"/>
    <w:rsid w:val="00455FF2"/>
    <w:rsid w:val="00457168"/>
    <w:rsid w:val="00461587"/>
    <w:rsid w:val="00463F0D"/>
    <w:rsid w:val="00465624"/>
    <w:rsid w:val="00471B6E"/>
    <w:rsid w:val="00475E66"/>
    <w:rsid w:val="00484943"/>
    <w:rsid w:val="00486582"/>
    <w:rsid w:val="00491741"/>
    <w:rsid w:val="004A1A41"/>
    <w:rsid w:val="004A27EA"/>
    <w:rsid w:val="004A5D36"/>
    <w:rsid w:val="004B0844"/>
    <w:rsid w:val="004B2372"/>
    <w:rsid w:val="004D18C3"/>
    <w:rsid w:val="004D2495"/>
    <w:rsid w:val="004D4C70"/>
    <w:rsid w:val="004E00D9"/>
    <w:rsid w:val="004E179D"/>
    <w:rsid w:val="004F0A7E"/>
    <w:rsid w:val="004F4A43"/>
    <w:rsid w:val="004F68F2"/>
    <w:rsid w:val="00500A4F"/>
    <w:rsid w:val="005047F4"/>
    <w:rsid w:val="00504892"/>
    <w:rsid w:val="00516F5C"/>
    <w:rsid w:val="0052008D"/>
    <w:rsid w:val="005248C9"/>
    <w:rsid w:val="00524E99"/>
    <w:rsid w:val="005273E2"/>
    <w:rsid w:val="005326E1"/>
    <w:rsid w:val="005562F2"/>
    <w:rsid w:val="005566E3"/>
    <w:rsid w:val="0056628D"/>
    <w:rsid w:val="00572B20"/>
    <w:rsid w:val="00592026"/>
    <w:rsid w:val="00594CC2"/>
    <w:rsid w:val="005A14DB"/>
    <w:rsid w:val="005A7B0B"/>
    <w:rsid w:val="005B35B6"/>
    <w:rsid w:val="005C01EB"/>
    <w:rsid w:val="005C10C4"/>
    <w:rsid w:val="005C5D54"/>
    <w:rsid w:val="005C70C5"/>
    <w:rsid w:val="005D643A"/>
    <w:rsid w:val="005E170B"/>
    <w:rsid w:val="005E19C1"/>
    <w:rsid w:val="005F6772"/>
    <w:rsid w:val="0060380B"/>
    <w:rsid w:val="006043EA"/>
    <w:rsid w:val="00606D1A"/>
    <w:rsid w:val="00607013"/>
    <w:rsid w:val="006210C8"/>
    <w:rsid w:val="0062693C"/>
    <w:rsid w:val="00627D42"/>
    <w:rsid w:val="0063230E"/>
    <w:rsid w:val="00634F97"/>
    <w:rsid w:val="006435E5"/>
    <w:rsid w:val="0065098A"/>
    <w:rsid w:val="006536AF"/>
    <w:rsid w:val="00655FCA"/>
    <w:rsid w:val="00656B1E"/>
    <w:rsid w:val="00673ACC"/>
    <w:rsid w:val="00681468"/>
    <w:rsid w:val="006A007A"/>
    <w:rsid w:val="006A0357"/>
    <w:rsid w:val="006A408D"/>
    <w:rsid w:val="006A412D"/>
    <w:rsid w:val="006B37D1"/>
    <w:rsid w:val="006B4008"/>
    <w:rsid w:val="006B465A"/>
    <w:rsid w:val="006B4DA2"/>
    <w:rsid w:val="006B55E9"/>
    <w:rsid w:val="006C4400"/>
    <w:rsid w:val="006C7AE6"/>
    <w:rsid w:val="006D2D00"/>
    <w:rsid w:val="006D4820"/>
    <w:rsid w:val="006D655A"/>
    <w:rsid w:val="006E4C47"/>
    <w:rsid w:val="006F48A5"/>
    <w:rsid w:val="006F618D"/>
    <w:rsid w:val="007041D7"/>
    <w:rsid w:val="0070537D"/>
    <w:rsid w:val="007113BB"/>
    <w:rsid w:val="0071486B"/>
    <w:rsid w:val="00722301"/>
    <w:rsid w:val="00725E72"/>
    <w:rsid w:val="00734473"/>
    <w:rsid w:val="00736D10"/>
    <w:rsid w:val="00743D41"/>
    <w:rsid w:val="007451D0"/>
    <w:rsid w:val="00745E08"/>
    <w:rsid w:val="00746651"/>
    <w:rsid w:val="00746CB2"/>
    <w:rsid w:val="007512DE"/>
    <w:rsid w:val="00751FB7"/>
    <w:rsid w:val="00752134"/>
    <w:rsid w:val="00752761"/>
    <w:rsid w:val="0076034D"/>
    <w:rsid w:val="0076260A"/>
    <w:rsid w:val="007642E8"/>
    <w:rsid w:val="007649A4"/>
    <w:rsid w:val="007661AE"/>
    <w:rsid w:val="0076636B"/>
    <w:rsid w:val="00773E5D"/>
    <w:rsid w:val="00777B63"/>
    <w:rsid w:val="00777D1A"/>
    <w:rsid w:val="007804E9"/>
    <w:rsid w:val="00783514"/>
    <w:rsid w:val="007906A7"/>
    <w:rsid w:val="00793238"/>
    <w:rsid w:val="007A5ECD"/>
    <w:rsid w:val="007C773E"/>
    <w:rsid w:val="007D6D63"/>
    <w:rsid w:val="007E1B94"/>
    <w:rsid w:val="007E6D97"/>
    <w:rsid w:val="007F2642"/>
    <w:rsid w:val="007F66C1"/>
    <w:rsid w:val="007F7479"/>
    <w:rsid w:val="00802CDD"/>
    <w:rsid w:val="008043B8"/>
    <w:rsid w:val="00805392"/>
    <w:rsid w:val="00810722"/>
    <w:rsid w:val="00814EF4"/>
    <w:rsid w:val="00815792"/>
    <w:rsid w:val="0082026D"/>
    <w:rsid w:val="008202C4"/>
    <w:rsid w:val="00826269"/>
    <w:rsid w:val="00831B45"/>
    <w:rsid w:val="00835AFA"/>
    <w:rsid w:val="008407F5"/>
    <w:rsid w:val="00862F89"/>
    <w:rsid w:val="00872123"/>
    <w:rsid w:val="00875C3E"/>
    <w:rsid w:val="00877AD9"/>
    <w:rsid w:val="00885D47"/>
    <w:rsid w:val="00890889"/>
    <w:rsid w:val="00896735"/>
    <w:rsid w:val="008A074D"/>
    <w:rsid w:val="008A3D39"/>
    <w:rsid w:val="008A753B"/>
    <w:rsid w:val="008A75E7"/>
    <w:rsid w:val="008B11FC"/>
    <w:rsid w:val="008B3E3D"/>
    <w:rsid w:val="008B6C2E"/>
    <w:rsid w:val="008C0CAC"/>
    <w:rsid w:val="008C2EF8"/>
    <w:rsid w:val="008C2FDE"/>
    <w:rsid w:val="008C727B"/>
    <w:rsid w:val="008D3A75"/>
    <w:rsid w:val="008D645C"/>
    <w:rsid w:val="008E0114"/>
    <w:rsid w:val="008E1CA3"/>
    <w:rsid w:val="008E5E7A"/>
    <w:rsid w:val="008E7B0D"/>
    <w:rsid w:val="008F2574"/>
    <w:rsid w:val="008F4A49"/>
    <w:rsid w:val="008F7C97"/>
    <w:rsid w:val="00912975"/>
    <w:rsid w:val="00917D8D"/>
    <w:rsid w:val="00921D70"/>
    <w:rsid w:val="00926B34"/>
    <w:rsid w:val="00930CB2"/>
    <w:rsid w:val="009342D1"/>
    <w:rsid w:val="009436C2"/>
    <w:rsid w:val="00944EB2"/>
    <w:rsid w:val="0094660B"/>
    <w:rsid w:val="009473DA"/>
    <w:rsid w:val="00951912"/>
    <w:rsid w:val="00952E91"/>
    <w:rsid w:val="00956800"/>
    <w:rsid w:val="00964EBC"/>
    <w:rsid w:val="00964F1A"/>
    <w:rsid w:val="00965C7E"/>
    <w:rsid w:val="009765FA"/>
    <w:rsid w:val="0098022A"/>
    <w:rsid w:val="00991243"/>
    <w:rsid w:val="00994FE6"/>
    <w:rsid w:val="009A18E9"/>
    <w:rsid w:val="009A3C81"/>
    <w:rsid w:val="009A6CD4"/>
    <w:rsid w:val="009B2670"/>
    <w:rsid w:val="009B70EB"/>
    <w:rsid w:val="009C163A"/>
    <w:rsid w:val="009C5532"/>
    <w:rsid w:val="009D1920"/>
    <w:rsid w:val="009D5065"/>
    <w:rsid w:val="009E2F48"/>
    <w:rsid w:val="009F0747"/>
    <w:rsid w:val="009F1141"/>
    <w:rsid w:val="009F1A58"/>
    <w:rsid w:val="009F2503"/>
    <w:rsid w:val="00A04204"/>
    <w:rsid w:val="00A06F10"/>
    <w:rsid w:val="00A13661"/>
    <w:rsid w:val="00A166EE"/>
    <w:rsid w:val="00A32100"/>
    <w:rsid w:val="00A33B20"/>
    <w:rsid w:val="00A364D8"/>
    <w:rsid w:val="00A45D07"/>
    <w:rsid w:val="00A51D73"/>
    <w:rsid w:val="00A5266C"/>
    <w:rsid w:val="00A539CC"/>
    <w:rsid w:val="00A553CF"/>
    <w:rsid w:val="00A7167A"/>
    <w:rsid w:val="00A83816"/>
    <w:rsid w:val="00A84615"/>
    <w:rsid w:val="00A85DEC"/>
    <w:rsid w:val="00AA5CCD"/>
    <w:rsid w:val="00AA5F18"/>
    <w:rsid w:val="00AA66D6"/>
    <w:rsid w:val="00AA6DE3"/>
    <w:rsid w:val="00AB0491"/>
    <w:rsid w:val="00AB164B"/>
    <w:rsid w:val="00AB23D9"/>
    <w:rsid w:val="00AB4D52"/>
    <w:rsid w:val="00AF4E6F"/>
    <w:rsid w:val="00AF6193"/>
    <w:rsid w:val="00B038D7"/>
    <w:rsid w:val="00B06C4D"/>
    <w:rsid w:val="00B074DE"/>
    <w:rsid w:val="00B1319B"/>
    <w:rsid w:val="00B21828"/>
    <w:rsid w:val="00B30EED"/>
    <w:rsid w:val="00B31017"/>
    <w:rsid w:val="00B35317"/>
    <w:rsid w:val="00B51DAB"/>
    <w:rsid w:val="00B62E22"/>
    <w:rsid w:val="00B65110"/>
    <w:rsid w:val="00B66BE8"/>
    <w:rsid w:val="00B7284B"/>
    <w:rsid w:val="00B72B9A"/>
    <w:rsid w:val="00B74816"/>
    <w:rsid w:val="00B90AE2"/>
    <w:rsid w:val="00B91E7E"/>
    <w:rsid w:val="00BA5C8F"/>
    <w:rsid w:val="00BB0F07"/>
    <w:rsid w:val="00BB39B3"/>
    <w:rsid w:val="00BC5B22"/>
    <w:rsid w:val="00BD4FB5"/>
    <w:rsid w:val="00BD65FF"/>
    <w:rsid w:val="00BD7436"/>
    <w:rsid w:val="00BD7E21"/>
    <w:rsid w:val="00BE62C2"/>
    <w:rsid w:val="00BF04A8"/>
    <w:rsid w:val="00BF4EBD"/>
    <w:rsid w:val="00BF7F73"/>
    <w:rsid w:val="00C010D5"/>
    <w:rsid w:val="00C03163"/>
    <w:rsid w:val="00C04D82"/>
    <w:rsid w:val="00C16C09"/>
    <w:rsid w:val="00C22BFC"/>
    <w:rsid w:val="00C32565"/>
    <w:rsid w:val="00C33619"/>
    <w:rsid w:val="00C34D11"/>
    <w:rsid w:val="00C40D07"/>
    <w:rsid w:val="00C43844"/>
    <w:rsid w:val="00C45255"/>
    <w:rsid w:val="00C54F81"/>
    <w:rsid w:val="00C55E22"/>
    <w:rsid w:val="00C6238A"/>
    <w:rsid w:val="00C66992"/>
    <w:rsid w:val="00C672E7"/>
    <w:rsid w:val="00C70013"/>
    <w:rsid w:val="00C72C7C"/>
    <w:rsid w:val="00C738EA"/>
    <w:rsid w:val="00C7530F"/>
    <w:rsid w:val="00C75D50"/>
    <w:rsid w:val="00C75E13"/>
    <w:rsid w:val="00C816E4"/>
    <w:rsid w:val="00C86D8C"/>
    <w:rsid w:val="00C90F0C"/>
    <w:rsid w:val="00C918CA"/>
    <w:rsid w:val="00C96C94"/>
    <w:rsid w:val="00CA4C8E"/>
    <w:rsid w:val="00CA5DFE"/>
    <w:rsid w:val="00CA7401"/>
    <w:rsid w:val="00CB27A3"/>
    <w:rsid w:val="00CB2959"/>
    <w:rsid w:val="00CB2B51"/>
    <w:rsid w:val="00CC16EB"/>
    <w:rsid w:val="00CC2073"/>
    <w:rsid w:val="00CC2E7F"/>
    <w:rsid w:val="00CD30ED"/>
    <w:rsid w:val="00CD5B34"/>
    <w:rsid w:val="00CD7794"/>
    <w:rsid w:val="00CE4358"/>
    <w:rsid w:val="00D076A6"/>
    <w:rsid w:val="00D1185E"/>
    <w:rsid w:val="00D17D8F"/>
    <w:rsid w:val="00D23289"/>
    <w:rsid w:val="00D242CC"/>
    <w:rsid w:val="00D40EE9"/>
    <w:rsid w:val="00D44E55"/>
    <w:rsid w:val="00D52242"/>
    <w:rsid w:val="00D57DF2"/>
    <w:rsid w:val="00D6024C"/>
    <w:rsid w:val="00D613A1"/>
    <w:rsid w:val="00D618FC"/>
    <w:rsid w:val="00D6393E"/>
    <w:rsid w:val="00D65E8D"/>
    <w:rsid w:val="00D70432"/>
    <w:rsid w:val="00D75602"/>
    <w:rsid w:val="00D76294"/>
    <w:rsid w:val="00D76FB6"/>
    <w:rsid w:val="00D803CC"/>
    <w:rsid w:val="00D825AD"/>
    <w:rsid w:val="00D829AE"/>
    <w:rsid w:val="00D83A96"/>
    <w:rsid w:val="00D84879"/>
    <w:rsid w:val="00D84EEF"/>
    <w:rsid w:val="00D86059"/>
    <w:rsid w:val="00D9202C"/>
    <w:rsid w:val="00D92435"/>
    <w:rsid w:val="00D92D03"/>
    <w:rsid w:val="00D97322"/>
    <w:rsid w:val="00D974AC"/>
    <w:rsid w:val="00DA7381"/>
    <w:rsid w:val="00DB4D60"/>
    <w:rsid w:val="00DC281C"/>
    <w:rsid w:val="00DE3A5A"/>
    <w:rsid w:val="00DE3C08"/>
    <w:rsid w:val="00DE6512"/>
    <w:rsid w:val="00DE6DAC"/>
    <w:rsid w:val="00DF13B7"/>
    <w:rsid w:val="00DF691A"/>
    <w:rsid w:val="00DF6AFA"/>
    <w:rsid w:val="00E0367A"/>
    <w:rsid w:val="00E3230B"/>
    <w:rsid w:val="00E32378"/>
    <w:rsid w:val="00E412E3"/>
    <w:rsid w:val="00E43797"/>
    <w:rsid w:val="00E45A0B"/>
    <w:rsid w:val="00E5440E"/>
    <w:rsid w:val="00E55260"/>
    <w:rsid w:val="00E56A51"/>
    <w:rsid w:val="00E64189"/>
    <w:rsid w:val="00E65EDC"/>
    <w:rsid w:val="00E67945"/>
    <w:rsid w:val="00E760A6"/>
    <w:rsid w:val="00E84E2A"/>
    <w:rsid w:val="00E85E70"/>
    <w:rsid w:val="00E93131"/>
    <w:rsid w:val="00E94B92"/>
    <w:rsid w:val="00EA0E3D"/>
    <w:rsid w:val="00EA3C64"/>
    <w:rsid w:val="00EA472E"/>
    <w:rsid w:val="00EA6F7E"/>
    <w:rsid w:val="00EA72C1"/>
    <w:rsid w:val="00EB50F7"/>
    <w:rsid w:val="00EC3B33"/>
    <w:rsid w:val="00EC5EEB"/>
    <w:rsid w:val="00ED1D1D"/>
    <w:rsid w:val="00ED5FA8"/>
    <w:rsid w:val="00ED6ACC"/>
    <w:rsid w:val="00EE27DF"/>
    <w:rsid w:val="00EF556D"/>
    <w:rsid w:val="00F03553"/>
    <w:rsid w:val="00F04EC8"/>
    <w:rsid w:val="00F079C9"/>
    <w:rsid w:val="00F12D10"/>
    <w:rsid w:val="00F1498E"/>
    <w:rsid w:val="00F15E29"/>
    <w:rsid w:val="00F164DD"/>
    <w:rsid w:val="00F2054D"/>
    <w:rsid w:val="00F208B0"/>
    <w:rsid w:val="00F22A0B"/>
    <w:rsid w:val="00F257F4"/>
    <w:rsid w:val="00F30CAB"/>
    <w:rsid w:val="00F33D5F"/>
    <w:rsid w:val="00F348BA"/>
    <w:rsid w:val="00F46CD8"/>
    <w:rsid w:val="00F51B75"/>
    <w:rsid w:val="00F63093"/>
    <w:rsid w:val="00F8434A"/>
    <w:rsid w:val="00F905D2"/>
    <w:rsid w:val="00F971AB"/>
    <w:rsid w:val="00FA2A30"/>
    <w:rsid w:val="00FA2AEE"/>
    <w:rsid w:val="00FA791D"/>
    <w:rsid w:val="00FB12C9"/>
    <w:rsid w:val="00FB3C42"/>
    <w:rsid w:val="00FB57BB"/>
    <w:rsid w:val="00FB7EC3"/>
    <w:rsid w:val="00FC01B4"/>
    <w:rsid w:val="00FC437F"/>
    <w:rsid w:val="00FC5684"/>
    <w:rsid w:val="00FC70F1"/>
    <w:rsid w:val="00FD2BB6"/>
    <w:rsid w:val="00FD4F0A"/>
    <w:rsid w:val="00FD6F7D"/>
    <w:rsid w:val="00FD76B2"/>
    <w:rsid w:val="00FE4FDA"/>
    <w:rsid w:val="00FF1D77"/>
    <w:rsid w:val="00FF31CF"/>
    <w:rsid w:val="00FF4B36"/>
    <w:rsid w:val="00FF68E1"/>
    <w:rsid w:val="09B37C85"/>
    <w:rsid w:val="0AA506D4"/>
    <w:rsid w:val="0CBED51E"/>
    <w:rsid w:val="0ED06A89"/>
    <w:rsid w:val="135267C9"/>
    <w:rsid w:val="16BB1965"/>
    <w:rsid w:val="1D811A4D"/>
    <w:rsid w:val="2312E0F8"/>
    <w:rsid w:val="2456795B"/>
    <w:rsid w:val="26FA0807"/>
    <w:rsid w:val="29A8B104"/>
    <w:rsid w:val="3033A23E"/>
    <w:rsid w:val="30437FA8"/>
    <w:rsid w:val="35C27202"/>
    <w:rsid w:val="395DEB2E"/>
    <w:rsid w:val="423F301F"/>
    <w:rsid w:val="43A5ADC6"/>
    <w:rsid w:val="49C7C638"/>
    <w:rsid w:val="4A5AAB59"/>
    <w:rsid w:val="4D685135"/>
    <w:rsid w:val="517999FF"/>
    <w:rsid w:val="5B3DD287"/>
    <w:rsid w:val="5CAA4786"/>
    <w:rsid w:val="5F1D2973"/>
    <w:rsid w:val="603C0B46"/>
    <w:rsid w:val="60DC3539"/>
    <w:rsid w:val="665FA150"/>
    <w:rsid w:val="6B835C32"/>
    <w:rsid w:val="7ED90E44"/>
    <w:rsid w:val="7F1E8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5D27"/>
  <w15:chartTrackingRefBased/>
  <w15:docId w15:val="{002391A0-51C3-46C5-992D-5B6D3676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EDD"/>
    <w:pPr>
      <w:keepNext/>
      <w:keepLines/>
      <w:spacing w:before="60" w:after="60"/>
      <w:outlineLvl w:val="0"/>
    </w:pPr>
    <w:rPr>
      <w:rFonts w:ascii="Calibri" w:eastAsiaTheme="majorEastAsia" w:hAnsi="Calibri" w:cstheme="majorBidi"/>
      <w:b/>
      <w:color w:val="000000" w:themeColor="text1"/>
      <w:sz w:val="24"/>
      <w:szCs w:val="32"/>
    </w:rPr>
  </w:style>
  <w:style w:type="paragraph" w:styleId="Heading2">
    <w:name w:val="heading 2"/>
    <w:basedOn w:val="Normal"/>
    <w:next w:val="Normal"/>
    <w:link w:val="Heading2Char"/>
    <w:uiPriority w:val="9"/>
    <w:unhideWhenUsed/>
    <w:qFormat/>
    <w:rsid w:val="000C3EDD"/>
    <w:pPr>
      <w:keepNext/>
      <w:keepLines/>
      <w:spacing w:before="60" w:after="60"/>
      <w:outlineLvl w:val="1"/>
    </w:pPr>
    <w:rPr>
      <w:rFonts w:ascii="Calibri" w:eastAsiaTheme="majorEastAsia" w:hAnsi="Calibri" w:cstheme="majorBidi"/>
      <w:b/>
      <w:color w:val="000000" w:themeColor="text1"/>
      <w:sz w:val="24"/>
      <w:szCs w:val="26"/>
    </w:rPr>
  </w:style>
  <w:style w:type="paragraph" w:styleId="Heading3">
    <w:name w:val="heading 3"/>
    <w:basedOn w:val="Normal"/>
    <w:next w:val="Normal"/>
    <w:link w:val="Heading3Char"/>
    <w:uiPriority w:val="9"/>
    <w:unhideWhenUsed/>
    <w:qFormat/>
    <w:rsid w:val="000C3EDD"/>
    <w:pPr>
      <w:keepNext/>
      <w:keepLines/>
      <w:spacing w:before="40" w:after="0"/>
      <w:outlineLvl w:val="2"/>
    </w:pPr>
    <w:rPr>
      <w:rFonts w:ascii="Calibri" w:eastAsiaTheme="majorEastAsia" w:hAnsi="Calibri" w:cstheme="majorBidi"/>
      <w:color w:val="000000" w:themeColor="text1"/>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basedOn w:val="TableNormal"/>
    <w:uiPriority w:val="39"/>
    <w:rsid w:val="0000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230E"/>
    <w:rPr>
      <w:sz w:val="16"/>
      <w:szCs w:val="16"/>
    </w:rPr>
  </w:style>
  <w:style w:type="paragraph" w:styleId="CommentText">
    <w:name w:val="annotation text"/>
    <w:basedOn w:val="Normal"/>
    <w:link w:val="CommentTextChar"/>
    <w:uiPriority w:val="99"/>
    <w:unhideWhenUsed/>
    <w:rsid w:val="0063230E"/>
    <w:pPr>
      <w:spacing w:line="240" w:lineRule="auto"/>
    </w:pPr>
    <w:rPr>
      <w:sz w:val="20"/>
      <w:szCs w:val="20"/>
    </w:rPr>
  </w:style>
  <w:style w:type="character" w:customStyle="1" w:styleId="CommentTextChar">
    <w:name w:val="Comment Text Char"/>
    <w:basedOn w:val="DefaultParagraphFont"/>
    <w:link w:val="CommentText"/>
    <w:uiPriority w:val="99"/>
    <w:rsid w:val="0063230E"/>
    <w:rPr>
      <w:sz w:val="20"/>
      <w:szCs w:val="20"/>
    </w:rPr>
  </w:style>
  <w:style w:type="paragraph" w:styleId="CommentSubject">
    <w:name w:val="annotation subject"/>
    <w:basedOn w:val="CommentText"/>
    <w:next w:val="CommentText"/>
    <w:link w:val="CommentSubjectChar"/>
    <w:uiPriority w:val="99"/>
    <w:semiHidden/>
    <w:unhideWhenUsed/>
    <w:rsid w:val="0063230E"/>
    <w:rPr>
      <w:b/>
      <w:bCs/>
    </w:rPr>
  </w:style>
  <w:style w:type="character" w:customStyle="1" w:styleId="CommentSubjectChar">
    <w:name w:val="Comment Subject Char"/>
    <w:basedOn w:val="CommentTextChar"/>
    <w:link w:val="CommentSubject"/>
    <w:uiPriority w:val="99"/>
    <w:semiHidden/>
    <w:rsid w:val="0063230E"/>
    <w:rPr>
      <w:b/>
      <w:bCs/>
      <w:sz w:val="20"/>
      <w:szCs w:val="20"/>
    </w:rPr>
  </w:style>
  <w:style w:type="character" w:styleId="PlaceholderText">
    <w:name w:val="Placeholder Text"/>
    <w:basedOn w:val="DefaultParagraphFont"/>
    <w:uiPriority w:val="99"/>
    <w:semiHidden/>
    <w:rsid w:val="008A75E7"/>
    <w:rPr>
      <w:color w:val="808080"/>
    </w:rPr>
  </w:style>
  <w:style w:type="character" w:customStyle="1" w:styleId="Heading1Char">
    <w:name w:val="Heading 1 Char"/>
    <w:basedOn w:val="DefaultParagraphFont"/>
    <w:link w:val="Heading1"/>
    <w:uiPriority w:val="9"/>
    <w:rsid w:val="000C3EDD"/>
    <w:rPr>
      <w:rFonts w:ascii="Calibri" w:eastAsiaTheme="majorEastAsia" w:hAnsi="Calibri" w:cstheme="majorBidi"/>
      <w:b/>
      <w:color w:val="000000" w:themeColor="text1"/>
      <w:sz w:val="24"/>
      <w:szCs w:val="32"/>
    </w:rPr>
  </w:style>
  <w:style w:type="character" w:customStyle="1" w:styleId="Heading2Char">
    <w:name w:val="Heading 2 Char"/>
    <w:basedOn w:val="DefaultParagraphFont"/>
    <w:link w:val="Heading2"/>
    <w:uiPriority w:val="9"/>
    <w:rsid w:val="000C3EDD"/>
    <w:rPr>
      <w:rFonts w:ascii="Calibri" w:eastAsiaTheme="majorEastAsia" w:hAnsi="Calibri" w:cstheme="majorBidi"/>
      <w:b/>
      <w:color w:val="000000" w:themeColor="text1"/>
      <w:sz w:val="24"/>
      <w:szCs w:val="26"/>
    </w:rPr>
  </w:style>
  <w:style w:type="character" w:customStyle="1" w:styleId="Heading3Char">
    <w:name w:val="Heading 3 Char"/>
    <w:basedOn w:val="DefaultParagraphFont"/>
    <w:link w:val="Heading3"/>
    <w:uiPriority w:val="9"/>
    <w:rsid w:val="000C3EDD"/>
    <w:rPr>
      <w:rFonts w:ascii="Calibri" w:eastAsiaTheme="majorEastAsia" w:hAnsi="Calibri" w:cstheme="majorBidi"/>
      <w:color w:val="000000" w:themeColor="text1"/>
      <w:sz w:val="18"/>
      <w:szCs w:val="24"/>
    </w:rPr>
  </w:style>
  <w:style w:type="paragraph" w:styleId="ListParagraph">
    <w:name w:val="List Paragraph"/>
    <w:basedOn w:val="Normal"/>
    <w:uiPriority w:val="34"/>
    <w:qFormat/>
    <w:rsid w:val="006A007A"/>
    <w:pPr>
      <w:ind w:left="720"/>
      <w:contextualSpacing/>
    </w:pPr>
  </w:style>
  <w:style w:type="character" w:customStyle="1" w:styleId="eop">
    <w:name w:val="eop"/>
    <w:basedOn w:val="DefaultParagraphFont"/>
    <w:rsid w:val="00FB12C9"/>
  </w:style>
  <w:style w:type="character" w:customStyle="1" w:styleId="normaltextrun">
    <w:name w:val="normaltextrun"/>
    <w:basedOn w:val="DefaultParagraphFont"/>
    <w:rsid w:val="0010735F"/>
  </w:style>
  <w:style w:type="paragraph" w:styleId="Revision">
    <w:name w:val="Revision"/>
    <w:hidden/>
    <w:uiPriority w:val="99"/>
    <w:semiHidden/>
    <w:rsid w:val="00B31017"/>
    <w:pPr>
      <w:spacing w:after="0" w:line="240" w:lineRule="auto"/>
    </w:pPr>
  </w:style>
  <w:style w:type="paragraph" w:styleId="BodyTextIndent2">
    <w:name w:val="Body Text Indent 2"/>
    <w:basedOn w:val="Normal"/>
    <w:link w:val="BodyTextIndent2Char"/>
    <w:rsid w:val="003A2780"/>
    <w:pPr>
      <w:spacing w:after="0" w:line="240" w:lineRule="auto"/>
      <w:ind w:left="1440"/>
      <w:jc w:val="both"/>
    </w:pPr>
    <w:rPr>
      <w:rFonts w:ascii="Arial" w:eastAsia="Times New Roman" w:hAnsi="Arial" w:cs="Times New Roman"/>
      <w:sz w:val="24"/>
      <w:szCs w:val="20"/>
      <w:lang w:val="en-US"/>
    </w:rPr>
  </w:style>
  <w:style w:type="character" w:customStyle="1" w:styleId="BodyTextIndent2Char">
    <w:name w:val="Body Text Indent 2 Char"/>
    <w:basedOn w:val="DefaultParagraphFont"/>
    <w:link w:val="BodyTextIndent2"/>
    <w:rsid w:val="003A2780"/>
    <w:rPr>
      <w:rFonts w:ascii="Arial" w:eastAsia="Times New Roman" w:hAnsi="Arial"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3152">
      <w:bodyDiv w:val="1"/>
      <w:marLeft w:val="0"/>
      <w:marRight w:val="0"/>
      <w:marTop w:val="0"/>
      <w:marBottom w:val="0"/>
      <w:divBdr>
        <w:top w:val="none" w:sz="0" w:space="0" w:color="auto"/>
        <w:left w:val="none" w:sz="0" w:space="0" w:color="auto"/>
        <w:bottom w:val="none" w:sz="0" w:space="0" w:color="auto"/>
        <w:right w:val="none" w:sz="0" w:space="0" w:color="auto"/>
      </w:divBdr>
    </w:div>
    <w:div w:id="673653670">
      <w:bodyDiv w:val="1"/>
      <w:marLeft w:val="0"/>
      <w:marRight w:val="0"/>
      <w:marTop w:val="0"/>
      <w:marBottom w:val="0"/>
      <w:divBdr>
        <w:top w:val="none" w:sz="0" w:space="0" w:color="auto"/>
        <w:left w:val="none" w:sz="0" w:space="0" w:color="auto"/>
        <w:bottom w:val="none" w:sz="0" w:space="0" w:color="auto"/>
        <w:right w:val="none" w:sz="0" w:space="0" w:color="auto"/>
      </w:divBdr>
    </w:div>
    <w:div w:id="1080059328">
      <w:bodyDiv w:val="1"/>
      <w:marLeft w:val="0"/>
      <w:marRight w:val="0"/>
      <w:marTop w:val="0"/>
      <w:marBottom w:val="0"/>
      <w:divBdr>
        <w:top w:val="none" w:sz="0" w:space="0" w:color="auto"/>
        <w:left w:val="none" w:sz="0" w:space="0" w:color="auto"/>
        <w:bottom w:val="none" w:sz="0" w:space="0" w:color="auto"/>
        <w:right w:val="none" w:sz="0" w:space="0" w:color="auto"/>
      </w:divBdr>
    </w:div>
    <w:div w:id="1123504689">
      <w:bodyDiv w:val="1"/>
      <w:marLeft w:val="0"/>
      <w:marRight w:val="0"/>
      <w:marTop w:val="0"/>
      <w:marBottom w:val="0"/>
      <w:divBdr>
        <w:top w:val="none" w:sz="0" w:space="0" w:color="auto"/>
        <w:left w:val="none" w:sz="0" w:space="0" w:color="auto"/>
        <w:bottom w:val="none" w:sz="0" w:space="0" w:color="auto"/>
        <w:right w:val="none" w:sz="0" w:space="0" w:color="auto"/>
      </w:divBdr>
    </w:div>
    <w:div w:id="1257057285">
      <w:bodyDiv w:val="1"/>
      <w:marLeft w:val="0"/>
      <w:marRight w:val="0"/>
      <w:marTop w:val="0"/>
      <w:marBottom w:val="0"/>
      <w:divBdr>
        <w:top w:val="none" w:sz="0" w:space="0" w:color="auto"/>
        <w:left w:val="none" w:sz="0" w:space="0" w:color="auto"/>
        <w:bottom w:val="none" w:sz="0" w:space="0" w:color="auto"/>
        <w:right w:val="none" w:sz="0" w:space="0" w:color="auto"/>
      </w:divBdr>
    </w:div>
    <w:div w:id="1292437729">
      <w:bodyDiv w:val="1"/>
      <w:marLeft w:val="0"/>
      <w:marRight w:val="0"/>
      <w:marTop w:val="0"/>
      <w:marBottom w:val="0"/>
      <w:divBdr>
        <w:top w:val="none" w:sz="0" w:space="0" w:color="auto"/>
        <w:left w:val="none" w:sz="0" w:space="0" w:color="auto"/>
        <w:bottom w:val="none" w:sz="0" w:space="0" w:color="auto"/>
        <w:right w:val="none" w:sz="0" w:space="0" w:color="auto"/>
      </w:divBdr>
      <w:divsChild>
        <w:div w:id="1004431733">
          <w:marLeft w:val="0"/>
          <w:marRight w:val="0"/>
          <w:marTop w:val="0"/>
          <w:marBottom w:val="0"/>
          <w:divBdr>
            <w:top w:val="none" w:sz="0" w:space="0" w:color="auto"/>
            <w:left w:val="none" w:sz="0" w:space="0" w:color="auto"/>
            <w:bottom w:val="none" w:sz="0" w:space="0" w:color="auto"/>
            <w:right w:val="none" w:sz="0" w:space="0" w:color="auto"/>
          </w:divBdr>
        </w:div>
      </w:divsChild>
    </w:div>
    <w:div w:id="1820463395">
      <w:bodyDiv w:val="1"/>
      <w:marLeft w:val="0"/>
      <w:marRight w:val="0"/>
      <w:marTop w:val="0"/>
      <w:marBottom w:val="0"/>
      <w:divBdr>
        <w:top w:val="none" w:sz="0" w:space="0" w:color="auto"/>
        <w:left w:val="none" w:sz="0" w:space="0" w:color="auto"/>
        <w:bottom w:val="none" w:sz="0" w:space="0" w:color="auto"/>
        <w:right w:val="none" w:sz="0" w:space="0" w:color="auto"/>
      </w:divBdr>
      <w:divsChild>
        <w:div w:id="2110466210">
          <w:marLeft w:val="0"/>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6A39F6A7FCEE40900593B7854A99F3" ma:contentTypeVersion="18" ma:contentTypeDescription="Create a new document." ma:contentTypeScope="" ma:versionID="e93120ae4389666a6d11ca738fffb766">
  <xsd:schema xmlns:xsd="http://www.w3.org/2001/XMLSchema" xmlns:xs="http://www.w3.org/2001/XMLSchema" xmlns:p="http://schemas.microsoft.com/office/2006/metadata/properties" xmlns:ns2="83e1c26f-fe0c-40bd-9e3c-9d7a7969df8d" xmlns:ns3="d6a6db84-99ce-4eb8-880e-f25c00382294" targetNamespace="http://schemas.microsoft.com/office/2006/metadata/properties" ma:root="true" ma:fieldsID="809112fee9a8cb824f6d1e97d8cf7376" ns2:_="" ns3:_="">
    <xsd:import namespace="83e1c26f-fe0c-40bd-9e3c-9d7a7969df8d"/>
    <xsd:import namespace="d6a6db84-99ce-4eb8-880e-f25c003822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lcf76f155ced4ddcb4097134ff3c332f" minOccurs="0"/>
                <xsd:element ref="ns2:TaxCatchAll" minOccurs="0"/>
                <xsd:element ref="ns3:MediaServiceLocation" minOccurs="0"/>
                <xsd:element ref="ns3: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a6db84-99ce-4eb8-880e-f25c003822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Number" ma:index="24" nillable="true" ma:displayName="Template Number" ma:format="Dropdown" ma:internalName="Numb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umber xmlns="d6a6db84-99ce-4eb8-880e-f25c00382294" xsi:nil="true"/>
    <TaxCatchAll xmlns="83e1c26f-fe0c-40bd-9e3c-9d7a7969df8d" xsi:nil="true"/>
    <lcf76f155ced4ddcb4097134ff3c332f xmlns="d6a6db84-99ce-4eb8-880e-f25c003822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CED527-4CD1-4433-8AE7-D30DF743BF26}">
  <ds:schemaRefs>
    <ds:schemaRef ds:uri="http://schemas.microsoft.com/sharepoint/v3/contenttype/forms"/>
  </ds:schemaRefs>
</ds:datastoreItem>
</file>

<file path=customXml/itemProps2.xml><?xml version="1.0" encoding="utf-8"?>
<ds:datastoreItem xmlns:ds="http://schemas.openxmlformats.org/officeDocument/2006/customXml" ds:itemID="{02329E7F-867C-4CD1-9161-A2EE7BE4DE2C}">
  <ds:schemaRefs>
    <ds:schemaRef ds:uri="http://schemas.openxmlformats.org/officeDocument/2006/bibliography"/>
  </ds:schemaRefs>
</ds:datastoreItem>
</file>

<file path=customXml/itemProps3.xml><?xml version="1.0" encoding="utf-8"?>
<ds:datastoreItem xmlns:ds="http://schemas.openxmlformats.org/officeDocument/2006/customXml" ds:itemID="{05AF0E53-EDF0-4347-8273-14648DF23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1c26f-fe0c-40bd-9e3c-9d7a7969df8d"/>
    <ds:schemaRef ds:uri="d6a6db84-99ce-4eb8-880e-f25c00382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11ECD4-E92F-49F7-9CA7-80B9B5CC6A3F}">
  <ds:schemaRefs>
    <ds:schemaRef ds:uri="http://schemas.microsoft.com/office/2006/metadata/properties"/>
    <ds:schemaRef ds:uri="http://schemas.microsoft.com/office/infopath/2007/PartnerControls"/>
    <ds:schemaRef ds:uri="d6a6db84-99ce-4eb8-880e-f25c00382294"/>
    <ds:schemaRef ds:uri="83e1c26f-fe0c-40bd-9e3c-9d7a7969df8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1648</Words>
  <Characters>9396</Characters>
  <Application>Microsoft Office Word</Application>
  <DocSecurity>8</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Stallard, Lorraine C</dc:creator>
  <cp:keywords/>
  <dc:description/>
  <cp:lastModifiedBy>Elwood, Jayne</cp:lastModifiedBy>
  <cp:revision>3</cp:revision>
  <cp:lastPrinted>2020-02-14T21:30:00Z</cp:lastPrinted>
  <dcterms:created xsi:type="dcterms:W3CDTF">2023-06-27T10:14:00Z</dcterms:created>
  <dcterms:modified xsi:type="dcterms:W3CDTF">2023-06-27T14:16:00Z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0x010100A76A39F6A7FCEE40900593B7854A99F3</vt:lpwstr>
  </property>
  <property fmtid="{D5CDD505-2E9C-101B-9397-08002B2CF9AE}" pid="3" name="MediaServiceImageTags">
    <vt:lpwstr/>
  </property>
</Properties>
</file>