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261"/>
        <w:gridCol w:w="1701"/>
      </w:tblGrid>
      <w:tr w:rsidR="008A753B" w:rsidRPr="008A753B" w14:paraId="2A4DDC6B" w14:textId="77777777" w:rsidTr="00395C89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75979E0C" w:rsidR="0000042C" w:rsidRPr="008A753B" w:rsidRDefault="00A71EDF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A93902">
              <w:rPr>
                <w:b/>
                <w:bCs/>
                <w:sz w:val="24"/>
                <w:szCs w:val="24"/>
              </w:rPr>
              <w:t xml:space="preserve">1 MARCH </w:t>
            </w:r>
            <w:r w:rsidR="008D0F20">
              <w:rPr>
                <w:b/>
                <w:bCs/>
                <w:sz w:val="24"/>
                <w:szCs w:val="24"/>
              </w:rPr>
              <w:t>202</w:t>
            </w:r>
            <w:r w:rsidR="00A9390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A753B" w:rsidRPr="008A753B" w14:paraId="648655F8" w14:textId="77777777" w:rsidTr="00395C89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864B29" w:rsidRPr="008A753B" w14:paraId="55D3FC8D" w14:textId="77777777" w:rsidTr="00395C89">
        <w:tc>
          <w:tcPr>
            <w:tcW w:w="5245" w:type="dxa"/>
            <w:tcBorders>
              <w:top w:val="single" w:sz="4" w:space="0" w:color="auto"/>
            </w:tcBorders>
          </w:tcPr>
          <w:p w14:paraId="3D959F2F" w14:textId="54B912E0" w:rsidR="00864B29" w:rsidRPr="008A753B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Cowling </w:t>
            </w:r>
            <w:r w:rsidR="00864B29">
              <w:rPr>
                <w:sz w:val="24"/>
                <w:szCs w:val="24"/>
              </w:rPr>
              <w:t>(Chair)</w:t>
            </w:r>
            <w:r w:rsidR="00103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30089F4C" w14:textId="20BBB0BC" w:rsidR="00864B29" w:rsidRPr="008A753B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Onyia</w:t>
            </w:r>
          </w:p>
        </w:tc>
      </w:tr>
      <w:tr w:rsidR="00103702" w:rsidRPr="008A753B" w14:paraId="390C3619" w14:textId="77777777" w:rsidTr="00395C89">
        <w:tc>
          <w:tcPr>
            <w:tcW w:w="5245" w:type="dxa"/>
          </w:tcPr>
          <w:p w14:paraId="2E0B4B40" w14:textId="40387625" w:rsidR="00103702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Bernard</w:t>
            </w:r>
          </w:p>
        </w:tc>
        <w:tc>
          <w:tcPr>
            <w:tcW w:w="4962" w:type="dxa"/>
            <w:gridSpan w:val="2"/>
          </w:tcPr>
          <w:p w14:paraId="0252AEE5" w14:textId="5B1609D1" w:rsidR="00103702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Munn</w:t>
            </w:r>
          </w:p>
        </w:tc>
      </w:tr>
      <w:tr w:rsidR="00864B29" w:rsidRPr="008A753B" w14:paraId="50C624E2" w14:textId="77777777" w:rsidTr="00395C89">
        <w:tc>
          <w:tcPr>
            <w:tcW w:w="5245" w:type="dxa"/>
          </w:tcPr>
          <w:p w14:paraId="16CD5789" w14:textId="7EA3D53C" w:rsidR="005F0DC5" w:rsidRPr="008A753B" w:rsidRDefault="00A939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Sir Chris Husbands</w:t>
            </w:r>
          </w:p>
        </w:tc>
        <w:tc>
          <w:tcPr>
            <w:tcW w:w="4962" w:type="dxa"/>
            <w:gridSpan w:val="2"/>
          </w:tcPr>
          <w:p w14:paraId="5EA3E647" w14:textId="4A6066D7" w:rsidR="00864B29" w:rsidRPr="008A753B" w:rsidRDefault="00103702" w:rsidP="00864B29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 Searby</w:t>
            </w:r>
          </w:p>
        </w:tc>
      </w:tr>
      <w:tr w:rsidR="00864B29" w:rsidRPr="008A753B" w14:paraId="70E71BC7" w14:textId="77777777" w:rsidTr="00395C89"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864B29" w:rsidRPr="008A753B" w:rsidRDefault="00864B29" w:rsidP="00864B29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864B29" w:rsidRPr="008A753B" w:rsidRDefault="00864B29" w:rsidP="00864B29">
            <w:pPr>
              <w:pStyle w:val="Heading2"/>
            </w:pPr>
            <w:r w:rsidRPr="008A753B">
              <w:t>AGENDA ITEM</w:t>
            </w:r>
          </w:p>
        </w:tc>
      </w:tr>
      <w:tr w:rsidR="00864B29" w:rsidRPr="008A753B" w14:paraId="792E0B0F" w14:textId="77777777" w:rsidTr="00395C89">
        <w:trPr>
          <w:trHeight w:val="273"/>
        </w:trPr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14:paraId="1B475B60" w14:textId="3E83ACA3" w:rsidR="00864B29" w:rsidRPr="008A753B" w:rsidRDefault="00864B29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Calvert</w:t>
            </w:r>
            <w:r w:rsidR="00A71EDF">
              <w:rPr>
                <w:sz w:val="24"/>
                <w:szCs w:val="24"/>
              </w:rPr>
              <w:t>,</w:t>
            </w:r>
            <w:r w:rsidR="005F0DC5">
              <w:rPr>
                <w:sz w:val="24"/>
                <w:szCs w:val="24"/>
              </w:rPr>
              <w:t xml:space="preserve"> Deputy Vice-Chancellor</w:t>
            </w:r>
            <w:r w:rsidR="00940F40">
              <w:rPr>
                <w:sz w:val="24"/>
                <w:szCs w:val="24"/>
              </w:rPr>
              <w:t xml:space="preserve">, </w:t>
            </w:r>
            <w:r w:rsidR="005F0DC5">
              <w:rPr>
                <w:sz w:val="24"/>
                <w:szCs w:val="24"/>
              </w:rPr>
              <w:t>Strategy a</w:t>
            </w:r>
            <w:r w:rsidR="00940F40">
              <w:rPr>
                <w:sz w:val="24"/>
                <w:szCs w:val="24"/>
              </w:rPr>
              <w:t>nd</w:t>
            </w:r>
            <w:r w:rsidR="005F0DC5">
              <w:rPr>
                <w:sz w:val="24"/>
                <w:szCs w:val="24"/>
              </w:rPr>
              <w:t xml:space="preserve"> Operations</w:t>
            </w:r>
            <w:r w:rsidR="00940F40">
              <w:rPr>
                <w:sz w:val="24"/>
                <w:szCs w:val="24"/>
              </w:rPr>
              <w:t xml:space="preserve"> (DVCSO)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89311E" w14:textId="42ACA7F8" w:rsidR="00864B29" w:rsidRPr="008A753B" w:rsidRDefault="00A93902" w:rsidP="00864B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395C89" w:rsidRPr="008A753B" w14:paraId="23499307" w14:textId="77777777" w:rsidTr="00395C89">
        <w:trPr>
          <w:trHeight w:val="148"/>
        </w:trPr>
        <w:tc>
          <w:tcPr>
            <w:tcW w:w="8506" w:type="dxa"/>
            <w:gridSpan w:val="2"/>
          </w:tcPr>
          <w:p w14:paraId="239D58F6" w14:textId="77777777" w:rsidR="00395C89" w:rsidRDefault="00395C89" w:rsidP="00BF6B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Hulme, Director of Human Resources &amp; Organisational Development (HROD)</w:t>
            </w:r>
          </w:p>
        </w:tc>
        <w:tc>
          <w:tcPr>
            <w:tcW w:w="1701" w:type="dxa"/>
          </w:tcPr>
          <w:p w14:paraId="666A9E58" w14:textId="77777777" w:rsidR="00395C89" w:rsidRDefault="00395C89" w:rsidP="00BF6B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1 - 5</w:t>
            </w:r>
          </w:p>
        </w:tc>
      </w:tr>
      <w:tr w:rsidR="00103702" w:rsidRPr="008A753B" w14:paraId="7AEDBEB6" w14:textId="77777777" w:rsidTr="00395C89">
        <w:trPr>
          <w:trHeight w:val="148"/>
        </w:trPr>
        <w:tc>
          <w:tcPr>
            <w:tcW w:w="8506" w:type="dxa"/>
            <w:gridSpan w:val="2"/>
          </w:tcPr>
          <w:p w14:paraId="1D3F65F6" w14:textId="31319085" w:rsidR="00103702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Sally Jackson, Chief People Officer, Pro Vice-Chancellor (Diversity &amp; Inclusion)</w:t>
            </w:r>
          </w:p>
        </w:tc>
        <w:tc>
          <w:tcPr>
            <w:tcW w:w="1701" w:type="dxa"/>
          </w:tcPr>
          <w:p w14:paraId="24375CBF" w14:textId="1C3E85F1" w:rsidR="00103702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03702" w:rsidRPr="008A753B" w14:paraId="58F7750F" w14:textId="77777777" w:rsidTr="00395C89">
        <w:tc>
          <w:tcPr>
            <w:tcW w:w="8506" w:type="dxa"/>
            <w:gridSpan w:val="2"/>
          </w:tcPr>
          <w:p w14:paraId="0C1788E7" w14:textId="70202E26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Clair Marlow, Head of Legal Services and Deputy University Secretary </w:t>
            </w:r>
          </w:p>
        </w:tc>
        <w:tc>
          <w:tcPr>
            <w:tcW w:w="1701" w:type="dxa"/>
          </w:tcPr>
          <w:p w14:paraId="7DEBC527" w14:textId="7F0E7242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03702" w:rsidRPr="008A753B" w14:paraId="33B0B93C" w14:textId="77777777" w:rsidTr="00395C89">
        <w:tc>
          <w:tcPr>
            <w:tcW w:w="8506" w:type="dxa"/>
            <w:gridSpan w:val="2"/>
          </w:tcPr>
          <w:p w14:paraId="693EE68D" w14:textId="5387F076" w:rsidR="00103702" w:rsidRPr="008A753B" w:rsidRDefault="00A939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Keyworth,</w:t>
            </w:r>
            <w:r w:rsidR="00103702">
              <w:rPr>
                <w:sz w:val="24"/>
                <w:szCs w:val="24"/>
              </w:rPr>
              <w:t xml:space="preserve"> Chief Finance Officer (CFO)</w:t>
            </w:r>
          </w:p>
        </w:tc>
        <w:tc>
          <w:tcPr>
            <w:tcW w:w="1701" w:type="dxa"/>
          </w:tcPr>
          <w:p w14:paraId="2D1FB007" w14:textId="5A5E15A5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03702" w:rsidRPr="008A753B" w14:paraId="2ABABB21" w14:textId="77777777" w:rsidTr="00395C89">
        <w:tc>
          <w:tcPr>
            <w:tcW w:w="8506" w:type="dxa"/>
            <w:gridSpan w:val="2"/>
          </w:tcPr>
          <w:p w14:paraId="47EE1CA3" w14:textId="38A5ECF1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Taylor, Committee Secretary</w:t>
            </w:r>
          </w:p>
        </w:tc>
        <w:tc>
          <w:tcPr>
            <w:tcW w:w="1701" w:type="dxa"/>
          </w:tcPr>
          <w:p w14:paraId="14CD802B" w14:textId="465CBB09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103702" w:rsidRPr="008A753B" w14:paraId="6EE17534" w14:textId="77777777" w:rsidTr="00395C89">
        <w:tc>
          <w:tcPr>
            <w:tcW w:w="8506" w:type="dxa"/>
            <w:gridSpan w:val="2"/>
          </w:tcPr>
          <w:p w14:paraId="3D5C4872" w14:textId="045ABA6E" w:rsidR="00103702" w:rsidRPr="008A753B" w:rsidRDefault="00103702" w:rsidP="00103702">
            <w:pPr>
              <w:tabs>
                <w:tab w:val="left" w:pos="589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Libby Wilson, </w:t>
            </w:r>
            <w:r w:rsidR="00FD6D2F">
              <w:rPr>
                <w:sz w:val="24"/>
                <w:szCs w:val="24"/>
              </w:rPr>
              <w:t>Group Director, Infrastructure and Change</w:t>
            </w:r>
          </w:p>
        </w:tc>
        <w:tc>
          <w:tcPr>
            <w:tcW w:w="1701" w:type="dxa"/>
          </w:tcPr>
          <w:p w14:paraId="18542378" w14:textId="0C76CBF2" w:rsidR="00103702" w:rsidRPr="008A753B" w:rsidRDefault="00103702" w:rsidP="001037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</w:t>
            </w:r>
            <w:r w:rsidR="00257A17">
              <w:rPr>
                <w:sz w:val="24"/>
                <w:szCs w:val="24"/>
              </w:rPr>
              <w:t xml:space="preserve"> 7 and 8</w:t>
            </w:r>
          </w:p>
        </w:tc>
      </w:tr>
      <w:tr w:rsidR="00103702" w:rsidRPr="008A753B" w14:paraId="1EE88C2D" w14:textId="77777777" w:rsidTr="00395C89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43F56425" w:rsidR="00103702" w:rsidRPr="008A753B" w:rsidRDefault="00103702" w:rsidP="00103702">
            <w:pPr>
              <w:pStyle w:val="Heading2"/>
            </w:pPr>
            <w:r w:rsidRPr="008A753B">
              <w:t xml:space="preserve">APOLOGIES: </w:t>
            </w:r>
            <w:r w:rsidR="00A93902" w:rsidRPr="00A93902">
              <w:rPr>
                <w:b w:val="0"/>
                <w:bCs/>
                <w:szCs w:val="24"/>
              </w:rPr>
              <w:t>Gabrielle Berring, Lord Kerslake</w:t>
            </w:r>
            <w:r w:rsidR="00A93902">
              <w:rPr>
                <w:szCs w:val="24"/>
              </w:rPr>
              <w:t xml:space="preserve"> </w:t>
            </w:r>
          </w:p>
        </w:tc>
      </w:tr>
    </w:tbl>
    <w:p w14:paraId="2B637C90" w14:textId="207E3F35" w:rsidR="0000042C" w:rsidRPr="008A753B" w:rsidRDefault="0000042C" w:rsidP="00CF367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207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984"/>
      </w:tblGrid>
      <w:tr w:rsidR="008A753B" w:rsidRPr="008A753B" w14:paraId="126299E9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0C3EDD">
            <w:pPr>
              <w:pStyle w:val="Heading2"/>
            </w:pPr>
            <w:r w:rsidRPr="002D430D">
              <w:t>Minute Ref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0C3EDD">
            <w:pPr>
              <w:pStyle w:val="Heading2"/>
            </w:pPr>
            <w:r w:rsidRPr="002D430D">
              <w:t>Item of Business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0C3EDD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A753B" w:rsidRPr="008A753B" w14:paraId="1F67B079" w14:textId="77777777" w:rsidTr="00395C89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0E91ED7F" w:rsidR="00022310" w:rsidRPr="00A85DEC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</w:t>
            </w:r>
            <w:r w:rsidR="003372E6">
              <w:t>2023-03-01</w:t>
            </w:r>
            <w:r w:rsidR="005A7B0B">
              <w:t>/</w:t>
            </w:r>
            <w:r>
              <w:t>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006F15FB" w:rsidR="00022310" w:rsidRPr="008A753B" w:rsidRDefault="00D40EE9" w:rsidP="00172CB8">
            <w:pPr>
              <w:pStyle w:val="Heading2"/>
            </w:pPr>
            <w:r w:rsidRPr="008A753B">
              <w:t>DECLARATIONS OF INTEREST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77A9009D" w:rsidR="00022310" w:rsidRPr="008A753B" w:rsidRDefault="00022310" w:rsidP="00172CB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5DFBDA12" w:rsidR="00C54F81" w:rsidRPr="008A753B" w:rsidRDefault="0037008C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were no declarations of interest.</w:t>
            </w:r>
          </w:p>
        </w:tc>
      </w:tr>
      <w:tr w:rsidR="003A56C1" w:rsidRPr="008A753B" w14:paraId="4118F7A3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2D0A44EA" w:rsidR="003A56C1" w:rsidRPr="003A56C1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</w:t>
            </w:r>
            <w:r w:rsidR="003372E6">
              <w:t>2023-03-01</w:t>
            </w:r>
            <w:r>
              <w:t>/2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77510CF6" w:rsidR="004A27EA" w:rsidRPr="008A753B" w:rsidRDefault="00D40EE9" w:rsidP="00172CB8">
            <w:pPr>
              <w:pStyle w:val="Heading2"/>
            </w:pPr>
            <w:r w:rsidRPr="008A753B">
              <w:t xml:space="preserve">CHAIR’S BUSINESS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77777777" w:rsidR="003A56C1" w:rsidRPr="003A56C1" w:rsidRDefault="003A56C1" w:rsidP="00172CB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A753B" w:rsidRPr="008A753B" w14:paraId="45E5AE98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8A753B" w:rsidRDefault="003A56C1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1BED8" w14:textId="2C0458D3" w:rsidR="00395C89" w:rsidRDefault="00395C89" w:rsidP="00395C89">
            <w:pPr>
              <w:tabs>
                <w:tab w:val="left" w:pos="2980"/>
              </w:tabs>
              <w:spacing w:before="60" w:after="60"/>
              <w:rPr>
                <w:sz w:val="24"/>
                <w:szCs w:val="24"/>
              </w:rPr>
            </w:pPr>
            <w:r w:rsidRPr="00A3594C">
              <w:rPr>
                <w:sz w:val="24"/>
                <w:szCs w:val="24"/>
              </w:rPr>
              <w:t>The Chair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welcomed the </w:t>
            </w:r>
            <w:r w:rsidRPr="00B47C9B">
              <w:rPr>
                <w:sz w:val="24"/>
                <w:szCs w:val="24"/>
              </w:rPr>
              <w:t>new</w:t>
            </w:r>
            <w:r>
              <w:rPr>
                <w:sz w:val="24"/>
                <w:szCs w:val="24"/>
              </w:rPr>
              <w:t xml:space="preserve"> External</w:t>
            </w:r>
            <w:r w:rsidRPr="00B47C9B">
              <w:rPr>
                <w:sz w:val="24"/>
                <w:szCs w:val="24"/>
              </w:rPr>
              <w:t xml:space="preserve"> Co-opted Members</w:t>
            </w:r>
            <w:r>
              <w:rPr>
                <w:sz w:val="24"/>
                <w:szCs w:val="24"/>
              </w:rPr>
              <w:t xml:space="preserve"> to their first meeting, noting that the Committee’s </w:t>
            </w:r>
            <w:r w:rsidRPr="00B47C9B">
              <w:rPr>
                <w:sz w:val="24"/>
                <w:szCs w:val="24"/>
              </w:rPr>
              <w:t xml:space="preserve">Terms of Reference </w:t>
            </w:r>
            <w:r>
              <w:rPr>
                <w:sz w:val="24"/>
                <w:szCs w:val="24"/>
              </w:rPr>
              <w:t xml:space="preserve">had been </w:t>
            </w:r>
            <w:r w:rsidRPr="00B47C9B">
              <w:rPr>
                <w:sz w:val="24"/>
                <w:szCs w:val="24"/>
              </w:rPr>
              <w:t xml:space="preserve">updated </w:t>
            </w:r>
            <w:r>
              <w:rPr>
                <w:sz w:val="24"/>
                <w:szCs w:val="24"/>
              </w:rPr>
              <w:t xml:space="preserve">to reflect the </w:t>
            </w:r>
            <w:r w:rsidR="00422173">
              <w:rPr>
                <w:sz w:val="24"/>
                <w:szCs w:val="24"/>
              </w:rPr>
              <w:t>revised</w:t>
            </w:r>
            <w:r>
              <w:rPr>
                <w:sz w:val="24"/>
                <w:szCs w:val="24"/>
              </w:rPr>
              <w:t xml:space="preserve"> membership</w:t>
            </w:r>
            <w:r w:rsidRPr="00B47C9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Members </w:t>
            </w:r>
            <w:r w:rsidR="00422173">
              <w:rPr>
                <w:sz w:val="24"/>
                <w:szCs w:val="24"/>
              </w:rPr>
              <w:t>acknowledged</w:t>
            </w:r>
            <w:r>
              <w:rPr>
                <w:sz w:val="24"/>
                <w:szCs w:val="24"/>
              </w:rPr>
              <w:t xml:space="preserve"> </w:t>
            </w:r>
            <w:r w:rsidR="00422173">
              <w:rPr>
                <w:sz w:val="24"/>
                <w:szCs w:val="24"/>
              </w:rPr>
              <w:t xml:space="preserve">Katy </w:t>
            </w:r>
            <w:proofErr w:type="spellStart"/>
            <w:r w:rsidR="00422173">
              <w:rPr>
                <w:sz w:val="24"/>
                <w:szCs w:val="24"/>
              </w:rPr>
              <w:t>Gaunt’s</w:t>
            </w:r>
            <w:proofErr w:type="spellEnd"/>
            <w:r w:rsidR="00422173">
              <w:rPr>
                <w:sz w:val="24"/>
                <w:szCs w:val="24"/>
              </w:rPr>
              <w:t xml:space="preserve"> recent </w:t>
            </w:r>
            <w:r>
              <w:rPr>
                <w:sz w:val="24"/>
                <w:szCs w:val="24"/>
              </w:rPr>
              <w:t>resignation and recorded their thanks for her contribution to the work of the Committee.</w:t>
            </w:r>
            <w:r w:rsidRPr="00B47C9B">
              <w:rPr>
                <w:sz w:val="24"/>
                <w:szCs w:val="24"/>
              </w:rPr>
              <w:t xml:space="preserve"> </w:t>
            </w:r>
          </w:p>
          <w:p w14:paraId="0DD52B2A" w14:textId="7C335768" w:rsidR="00395C89" w:rsidRPr="00B47C9B" w:rsidRDefault="00395C89" w:rsidP="00395C89">
            <w:pPr>
              <w:tabs>
                <w:tab w:val="left" w:pos="2980"/>
              </w:tabs>
              <w:spacing w:before="60" w:after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The CFO and Director of HROD were also welcomed to the meeting.</w:t>
            </w:r>
          </w:p>
        </w:tc>
      </w:tr>
      <w:tr w:rsidR="000C39A5" w:rsidRPr="008A753B" w14:paraId="641799F4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411CAFFA" w:rsidR="000C39A5" w:rsidRPr="00E94B92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</w:t>
            </w:r>
            <w:r w:rsidR="003372E6">
              <w:t>2023-03-01</w:t>
            </w:r>
            <w:r>
              <w:t>/3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1902D22C" w:rsidR="000C39A5" w:rsidRPr="008A753B" w:rsidRDefault="00D40EE9" w:rsidP="00172CB8">
            <w:pPr>
              <w:pStyle w:val="Heading2"/>
            </w:pPr>
            <w:r w:rsidRPr="008A753B">
              <w:t>MINUTES OF THE PREVIOUS MEETING</w:t>
            </w:r>
            <w:r w:rsidR="00932A4E"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508A2D23" w:rsidR="000C39A5" w:rsidRPr="000D79CD" w:rsidRDefault="0037008C" w:rsidP="0037008C">
            <w:pPr>
              <w:pStyle w:val="Heading3"/>
              <w:spacing w:before="60" w:after="60"/>
              <w:ind w:left="-113" w:right="-109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t>FEC</w:t>
            </w:r>
            <w:r w:rsidR="005A7B0B">
              <w:t>/</w:t>
            </w:r>
            <w:r w:rsidR="003372E6">
              <w:t>2023-03-01</w:t>
            </w:r>
            <w:r w:rsidR="005A7B0B">
              <w:t>/</w:t>
            </w:r>
            <w:r w:rsidR="00CC16EB">
              <w:t>P</w:t>
            </w:r>
            <w:r>
              <w:t>3</w:t>
            </w:r>
          </w:p>
        </w:tc>
      </w:tr>
      <w:tr w:rsidR="000C39A5" w:rsidRPr="008A753B" w14:paraId="55126A0E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8A753B" w:rsidRDefault="000C39A5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00E2AB46" w:rsidR="000C39A5" w:rsidRPr="00A26A10" w:rsidRDefault="00A60C4C" w:rsidP="00810722">
            <w:pPr>
              <w:spacing w:before="60" w:after="60"/>
              <w:rPr>
                <w:sz w:val="24"/>
                <w:szCs w:val="24"/>
              </w:rPr>
            </w:pPr>
            <w:r w:rsidRPr="00A26A10">
              <w:rPr>
                <w:sz w:val="24"/>
                <w:szCs w:val="24"/>
              </w:rPr>
              <w:t xml:space="preserve">The Committee </w:t>
            </w:r>
            <w:r w:rsidRPr="002E560D">
              <w:rPr>
                <w:b/>
                <w:bCs/>
                <w:sz w:val="24"/>
                <w:szCs w:val="24"/>
              </w:rPr>
              <w:t>approved</w:t>
            </w:r>
            <w:r w:rsidRPr="00A26A10">
              <w:rPr>
                <w:sz w:val="24"/>
                <w:szCs w:val="24"/>
              </w:rPr>
              <w:t xml:space="preserve"> the minutes (including the confidential minutes) of the meeting</w:t>
            </w:r>
            <w:r w:rsidR="00B47C9B">
              <w:rPr>
                <w:sz w:val="24"/>
                <w:szCs w:val="24"/>
              </w:rPr>
              <w:t>s</w:t>
            </w:r>
            <w:r w:rsidRPr="00A26A10">
              <w:rPr>
                <w:sz w:val="24"/>
                <w:szCs w:val="24"/>
              </w:rPr>
              <w:t xml:space="preserve"> held on </w:t>
            </w:r>
            <w:r w:rsidR="00B47C9B">
              <w:rPr>
                <w:sz w:val="24"/>
                <w:szCs w:val="24"/>
              </w:rPr>
              <w:t>14 Nove</w:t>
            </w:r>
            <w:r w:rsidR="003545EB">
              <w:rPr>
                <w:sz w:val="24"/>
                <w:szCs w:val="24"/>
              </w:rPr>
              <w:t>mber</w:t>
            </w:r>
            <w:r w:rsidRPr="00A26A10">
              <w:rPr>
                <w:sz w:val="24"/>
                <w:szCs w:val="24"/>
              </w:rPr>
              <w:t xml:space="preserve"> 202</w:t>
            </w:r>
            <w:r w:rsidR="00B47C9B">
              <w:rPr>
                <w:sz w:val="24"/>
                <w:szCs w:val="24"/>
              </w:rPr>
              <w:t>3</w:t>
            </w:r>
            <w:r w:rsidRPr="00A26A10">
              <w:rPr>
                <w:sz w:val="24"/>
                <w:szCs w:val="24"/>
              </w:rPr>
              <w:t xml:space="preserve"> as an accurate record.</w:t>
            </w:r>
          </w:p>
        </w:tc>
      </w:tr>
      <w:tr w:rsidR="00CC16EB" w:rsidRPr="008A753B" w14:paraId="45842A65" w14:textId="77777777" w:rsidTr="00395C89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73EFF8B2" w:rsidR="00CC16EB" w:rsidRPr="00826269" w:rsidRDefault="0037008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</w:t>
            </w:r>
            <w:r w:rsidR="003372E6">
              <w:t>2023-03-01</w:t>
            </w:r>
            <w:r>
              <w:t>/4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12D152A9" w:rsidR="00CC16EB" w:rsidRPr="008A753B" w:rsidRDefault="00CC16EB" w:rsidP="00172CB8">
            <w:pPr>
              <w:pStyle w:val="Heading2"/>
            </w:pPr>
            <w:r w:rsidRPr="008A753B">
              <w:t>MATTERS ARISING</w:t>
            </w:r>
            <w:r w:rsidR="00993B93">
              <w:t xml:space="preserve"> AND ACTION TRACKER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13EC5E0E" w:rsidR="00CC16EB" w:rsidRPr="00CC16EB" w:rsidRDefault="0037008C" w:rsidP="0037008C">
            <w:pPr>
              <w:pStyle w:val="Heading3"/>
              <w:spacing w:before="60" w:after="60"/>
              <w:ind w:left="-113" w:right="-109"/>
              <w:jc w:val="right"/>
            </w:pPr>
            <w:r>
              <w:t>FEC/</w:t>
            </w:r>
            <w:r w:rsidR="003372E6">
              <w:t>2023-03-01</w:t>
            </w:r>
            <w:r>
              <w:t>/P4</w:t>
            </w:r>
          </w:p>
        </w:tc>
      </w:tr>
      <w:tr w:rsidR="00CC16EB" w:rsidRPr="008A753B" w14:paraId="127263CF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8A753B" w:rsidRDefault="00CC16EB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4.1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F9F2B" w14:textId="77777777" w:rsidR="00197053" w:rsidRDefault="00197053" w:rsidP="00CC16EB">
            <w:pPr>
              <w:spacing w:before="60" w:after="60"/>
              <w:rPr>
                <w:sz w:val="24"/>
                <w:szCs w:val="24"/>
              </w:rPr>
            </w:pPr>
            <w:bookmarkStart w:id="0" w:name="_Hlk118985643"/>
            <w:r>
              <w:rPr>
                <w:sz w:val="24"/>
                <w:szCs w:val="24"/>
              </w:rPr>
              <w:t>The following matters arising were noted:</w:t>
            </w:r>
          </w:p>
          <w:bookmarkEnd w:id="0"/>
          <w:p w14:paraId="59EC07B0" w14:textId="6581F486" w:rsidR="00395C89" w:rsidRPr="008A154D" w:rsidRDefault="0015446D" w:rsidP="0015446D">
            <w:pPr>
              <w:pStyle w:val="ListParagraph"/>
              <w:numPr>
                <w:ilvl w:val="0"/>
                <w:numId w:val="30"/>
              </w:numPr>
            </w:pPr>
            <w:r w:rsidRPr="0015446D">
              <w:rPr>
                <w:sz w:val="24"/>
                <w:szCs w:val="24"/>
              </w:rPr>
              <w:t>to schedule a b</w:t>
            </w:r>
            <w:r w:rsidR="00395C89" w:rsidRPr="0015446D">
              <w:rPr>
                <w:sz w:val="24"/>
                <w:szCs w:val="24"/>
              </w:rPr>
              <w:t xml:space="preserve">espoke session with staff and </w:t>
            </w:r>
            <w:r w:rsidRPr="0015446D">
              <w:rPr>
                <w:sz w:val="24"/>
                <w:szCs w:val="24"/>
              </w:rPr>
              <w:t>st</w:t>
            </w:r>
            <w:r w:rsidR="00395C89" w:rsidRPr="0015446D">
              <w:rPr>
                <w:sz w:val="24"/>
                <w:szCs w:val="24"/>
              </w:rPr>
              <w:t>udent users</w:t>
            </w:r>
            <w:r w:rsidR="00F94F5A" w:rsidRPr="0015446D">
              <w:rPr>
                <w:sz w:val="24"/>
                <w:szCs w:val="24"/>
              </w:rPr>
              <w:t xml:space="preserve"> </w:t>
            </w:r>
            <w:r w:rsidR="00395C89" w:rsidRPr="0015446D">
              <w:rPr>
                <w:sz w:val="24"/>
                <w:szCs w:val="24"/>
              </w:rPr>
              <w:t xml:space="preserve">on digital systems </w:t>
            </w:r>
            <w:r w:rsidRPr="0015446D">
              <w:rPr>
                <w:sz w:val="24"/>
                <w:szCs w:val="24"/>
              </w:rPr>
              <w:t xml:space="preserve">– it was subsequently decided to mark this action as complete following the demonstration of Blackboard and Learner Analytics </w:t>
            </w:r>
            <w:r w:rsidR="00422173">
              <w:rPr>
                <w:sz w:val="24"/>
                <w:szCs w:val="24"/>
              </w:rPr>
              <w:t>under</w:t>
            </w:r>
            <w:r w:rsidRPr="0015446D">
              <w:rPr>
                <w:sz w:val="24"/>
                <w:szCs w:val="24"/>
              </w:rPr>
              <w:t xml:space="preserve"> item 7.</w:t>
            </w:r>
          </w:p>
          <w:p w14:paraId="179D8E8D" w14:textId="6EE2CF3C" w:rsidR="007B63DA" w:rsidRPr="00257A17" w:rsidRDefault="0015446D" w:rsidP="00257A17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</w:t>
            </w:r>
            <w:r w:rsidR="00B47C9B" w:rsidRPr="00B47C9B">
              <w:rPr>
                <w:sz w:val="24"/>
                <w:szCs w:val="24"/>
              </w:rPr>
              <w:t xml:space="preserve">larify the role/focus of </w:t>
            </w:r>
            <w:r>
              <w:rPr>
                <w:sz w:val="24"/>
                <w:szCs w:val="24"/>
              </w:rPr>
              <w:t>the Committee’s</w:t>
            </w:r>
            <w:r w:rsidR="00B47C9B" w:rsidRPr="00B47C9B">
              <w:rPr>
                <w:sz w:val="24"/>
                <w:szCs w:val="24"/>
              </w:rPr>
              <w:t xml:space="preserve"> involvement in the Brent Cross Town project</w:t>
            </w:r>
            <w:r>
              <w:rPr>
                <w:sz w:val="24"/>
                <w:szCs w:val="24"/>
              </w:rPr>
              <w:t>, noting the c</w:t>
            </w:r>
            <w:r w:rsidR="002E560D">
              <w:rPr>
                <w:sz w:val="24"/>
                <w:szCs w:val="24"/>
              </w:rPr>
              <w:t>omprehensive reporting</w:t>
            </w:r>
            <w:r w:rsidR="00422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 the Task and Finish Group to the Board.</w:t>
            </w:r>
          </w:p>
        </w:tc>
      </w:tr>
      <w:tr w:rsidR="00B15A25" w:rsidRPr="008A753B" w14:paraId="5B26531D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D158BB" w14:textId="77777777" w:rsidR="00B15A25" w:rsidRPr="008A753B" w:rsidRDefault="00B15A25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5C86A" w14:textId="30386844" w:rsidR="002E560D" w:rsidRDefault="00B15A25" w:rsidP="002E560D">
            <w:pPr>
              <w:spacing w:before="60" w:after="60"/>
              <w:rPr>
                <w:sz w:val="24"/>
                <w:szCs w:val="24"/>
              </w:rPr>
            </w:pPr>
            <w:r w:rsidRPr="00B15A25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</w:t>
            </w:r>
            <w:r w:rsidR="0015446D">
              <w:rPr>
                <w:sz w:val="24"/>
                <w:szCs w:val="24"/>
              </w:rPr>
              <w:t>Chair</w:t>
            </w:r>
            <w:r w:rsidR="00BD2604">
              <w:rPr>
                <w:sz w:val="24"/>
                <w:szCs w:val="24"/>
              </w:rPr>
              <w:t>/</w:t>
            </w:r>
            <w:r w:rsidR="0015446D">
              <w:rPr>
                <w:sz w:val="24"/>
                <w:szCs w:val="24"/>
              </w:rPr>
              <w:t>DVCSO to discuss how best to incorporate updates on Brent Cross Town within the Finance and Employment Committee’s (FEC) business cycle.</w:t>
            </w:r>
          </w:p>
        </w:tc>
      </w:tr>
      <w:tr w:rsidR="00820AC3" w:rsidRPr="008A753B" w14:paraId="6D9D30E8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6CA34F01" w:rsidR="00820AC3" w:rsidRPr="008A753B" w:rsidRDefault="00820AC3" w:rsidP="00820AC3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1" w:name="_Hlk114508986"/>
            <w:r>
              <w:lastRenderedPageBreak/>
              <w:t>FEC/</w:t>
            </w:r>
            <w:r w:rsidR="003372E6">
              <w:t>2023-03-01</w:t>
            </w:r>
            <w:r>
              <w:t>/5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0A926E27" w:rsidR="00820AC3" w:rsidRPr="008A753B" w:rsidRDefault="00B47C9B" w:rsidP="00820AC3">
            <w:pPr>
              <w:pStyle w:val="Heading2"/>
            </w:pPr>
            <w:r>
              <w:rPr>
                <w:bCs/>
                <w:szCs w:val="24"/>
              </w:rPr>
              <w:t>HUMAN RESOURCE AND ORGANISATIONAL DEVELOPMENT (HROD)</w:t>
            </w:r>
            <w:r w:rsidR="00690C7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MATTERS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7293FB1E" w:rsidR="00820AC3" w:rsidRPr="00627D42" w:rsidRDefault="00820AC3" w:rsidP="00820AC3">
            <w:pPr>
              <w:pStyle w:val="Heading3"/>
              <w:spacing w:before="60" w:after="60"/>
              <w:ind w:left="-113" w:right="-110"/>
              <w:jc w:val="right"/>
            </w:pPr>
          </w:p>
        </w:tc>
      </w:tr>
      <w:bookmarkEnd w:id="1"/>
      <w:tr w:rsidR="00820AC3" w:rsidRPr="008A753B" w14:paraId="2E2484FD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26A20C7" w14:textId="4181A03E" w:rsidR="00820AC3" w:rsidRPr="008A753B" w:rsidRDefault="00820AC3" w:rsidP="00820AC3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3053B46E" w14:textId="5A6E48E2" w:rsidR="00820AC3" w:rsidRPr="00B47C9B" w:rsidRDefault="00B47C9B" w:rsidP="00B47C9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People Plan Report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784CBA" w14:textId="14484758" w:rsidR="00820AC3" w:rsidRPr="00820AC3" w:rsidRDefault="00820AC3" w:rsidP="00820AC3">
            <w:pPr>
              <w:pStyle w:val="Heading3"/>
              <w:spacing w:before="60" w:after="60"/>
              <w:ind w:left="-113" w:right="-110"/>
              <w:jc w:val="right"/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5.1</w:t>
            </w:r>
          </w:p>
        </w:tc>
      </w:tr>
      <w:tr w:rsidR="00820AC3" w:rsidRPr="008A753B" w14:paraId="42FA9C3D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09983F59" w14:textId="24ED3993" w:rsidR="00820AC3" w:rsidRDefault="00820AC3" w:rsidP="00820AC3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87DE8EC" w14:textId="28A5BB02" w:rsidR="00D90636" w:rsidRDefault="003372E6" w:rsidP="00D9063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33ABE">
              <w:rPr>
                <w:b/>
                <w:bCs/>
                <w:color w:val="000000" w:themeColor="text1"/>
                <w:sz w:val="24"/>
                <w:szCs w:val="24"/>
              </w:rPr>
              <w:t>Industrial action</w:t>
            </w:r>
            <w:r w:rsidR="00433ABE">
              <w:rPr>
                <w:b/>
                <w:bCs/>
                <w:color w:val="000000" w:themeColor="text1"/>
                <w:sz w:val="24"/>
                <w:szCs w:val="24"/>
              </w:rPr>
              <w:t xml:space="preserve"> update</w:t>
            </w:r>
            <w:r w:rsidRPr="00433ABE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D2604">
              <w:rPr>
                <w:color w:val="000000" w:themeColor="text1"/>
                <w:sz w:val="24"/>
                <w:szCs w:val="24"/>
              </w:rPr>
              <w:t>t</w:t>
            </w:r>
            <w:r>
              <w:rPr>
                <w:color w:val="000000" w:themeColor="text1"/>
                <w:sz w:val="24"/>
                <w:szCs w:val="24"/>
              </w:rPr>
              <w:t xml:space="preserve">he Director of HROD </w:t>
            </w:r>
            <w:r w:rsidR="00D90636">
              <w:rPr>
                <w:color w:val="000000" w:themeColor="text1"/>
                <w:sz w:val="24"/>
                <w:szCs w:val="24"/>
              </w:rPr>
              <w:t>updated</w:t>
            </w:r>
            <w:r>
              <w:rPr>
                <w:color w:val="000000" w:themeColor="text1"/>
                <w:sz w:val="24"/>
                <w:szCs w:val="24"/>
              </w:rPr>
              <w:t xml:space="preserve"> members on the </w:t>
            </w:r>
            <w:r w:rsidR="002E560D">
              <w:rPr>
                <w:color w:val="000000" w:themeColor="text1"/>
                <w:sz w:val="24"/>
                <w:szCs w:val="24"/>
              </w:rPr>
              <w:t>protracted period of industrial action</w:t>
            </w:r>
            <w:r w:rsidR="00433ABE">
              <w:rPr>
                <w:color w:val="000000" w:themeColor="text1"/>
                <w:sz w:val="24"/>
                <w:szCs w:val="24"/>
              </w:rPr>
              <w:t>,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 predominantly with </w:t>
            </w:r>
            <w:r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CD1261">
              <w:rPr>
                <w:rFonts w:cstheme="minorHAnsi"/>
                <w:sz w:val="24"/>
                <w:szCs w:val="24"/>
                <w:shd w:val="clear" w:color="auto" w:fill="FFFFFF"/>
              </w:rPr>
              <w:t>University and College Union (UCU)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noting that 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whilst pay </w:t>
            </w:r>
            <w:r>
              <w:rPr>
                <w:color w:val="000000" w:themeColor="text1"/>
                <w:sz w:val="24"/>
                <w:szCs w:val="24"/>
              </w:rPr>
              <w:t xml:space="preserve">and </w:t>
            </w:r>
            <w:r w:rsidR="00433ABE">
              <w:rPr>
                <w:color w:val="000000" w:themeColor="text1"/>
                <w:sz w:val="24"/>
                <w:szCs w:val="24"/>
              </w:rPr>
              <w:t>changes to the Universities Superannuation Scheme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33ABE">
              <w:rPr>
                <w:color w:val="000000" w:themeColor="text1"/>
                <w:sz w:val="24"/>
                <w:szCs w:val="24"/>
              </w:rPr>
              <w:t xml:space="preserve">(USS) </w:t>
            </w:r>
            <w:r>
              <w:rPr>
                <w:color w:val="000000" w:themeColor="text1"/>
                <w:sz w:val="24"/>
                <w:szCs w:val="24"/>
              </w:rPr>
              <w:t>were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key </w:t>
            </w:r>
            <w:r w:rsidR="002E560D">
              <w:rPr>
                <w:color w:val="000000" w:themeColor="text1"/>
                <w:sz w:val="24"/>
                <w:szCs w:val="24"/>
              </w:rPr>
              <w:t>factor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the action covered other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00C1">
              <w:rPr>
                <w:color w:val="000000" w:themeColor="text1"/>
                <w:sz w:val="24"/>
                <w:szCs w:val="24"/>
              </w:rPr>
              <w:t>related</w:t>
            </w:r>
            <w:r w:rsidR="002E560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issues including workloads and zero-hour contracts. 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It </w:t>
            </w:r>
            <w:r w:rsidR="00D90636">
              <w:rPr>
                <w:rFonts w:cstheme="minorHAnsi"/>
                <w:sz w:val="24"/>
                <w:szCs w:val="24"/>
                <w:shd w:val="clear" w:color="auto" w:fill="FFFFFF"/>
              </w:rPr>
              <w:t>was</w:t>
            </w:r>
            <w:r w:rsidR="00BD260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reported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that UCU </w:t>
            </w:r>
            <w:r w:rsidR="00D90636">
              <w:rPr>
                <w:rFonts w:cstheme="minorHAnsi"/>
                <w:sz w:val="24"/>
                <w:szCs w:val="24"/>
                <w:shd w:val="clear" w:color="auto" w:fill="FFFFFF"/>
              </w:rPr>
              <w:t>would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BD260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likely 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ballot their members on </w:t>
            </w:r>
            <w:r w:rsidR="00BD2604">
              <w:rPr>
                <w:rFonts w:cstheme="minorHAnsi"/>
                <w:sz w:val="24"/>
                <w:szCs w:val="24"/>
                <w:shd w:val="clear" w:color="auto" w:fill="FFFFFF"/>
              </w:rPr>
              <w:t>extending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strike action beyond 20 April 2023 and escalat</w:t>
            </w:r>
            <w:r w:rsidR="00BD2604">
              <w:rPr>
                <w:rFonts w:cstheme="minorHAnsi"/>
                <w:sz w:val="24"/>
                <w:szCs w:val="24"/>
                <w:shd w:val="clear" w:color="auto" w:fill="FFFFFF"/>
              </w:rPr>
              <w:t>ing</w:t>
            </w:r>
            <w:r w:rsidR="00D9063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action to include a marking and assessment boycott</w:t>
            </w:r>
            <w:r w:rsidR="00D90636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14:paraId="30C2F9EC" w14:textId="70197E82" w:rsidR="00D90636" w:rsidRPr="00677BDB" w:rsidRDefault="003372E6" w:rsidP="00677BDB">
            <w:pPr>
              <w:spacing w:before="60" w:after="6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It was noted that the impact at the University had been effectively mitigated to date and that significant work </w:t>
            </w:r>
            <w:r w:rsidR="00BD2604">
              <w:rPr>
                <w:color w:val="000000" w:themeColor="text1"/>
                <w:sz w:val="24"/>
                <w:szCs w:val="24"/>
              </w:rPr>
              <w:t>had been undertaken in collaboration with</w:t>
            </w:r>
            <w:r>
              <w:rPr>
                <w:color w:val="000000" w:themeColor="text1"/>
                <w:sz w:val="24"/>
                <w:szCs w:val="24"/>
              </w:rPr>
              <w:t xml:space="preserve"> the local branch of the UCU </w:t>
            </w:r>
            <w:r w:rsidR="00BD2604">
              <w:rPr>
                <w:color w:val="000000" w:themeColor="text1"/>
                <w:sz w:val="24"/>
                <w:szCs w:val="24"/>
              </w:rPr>
              <w:t xml:space="preserve">to move </w:t>
            </w:r>
            <w:r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away from zero-hour contracts and offer more secure contractual terms to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c.500 </w:t>
            </w:r>
            <w:r w:rsidRPr="00CD1261">
              <w:rPr>
                <w:rFonts w:cstheme="minorHAnsi"/>
                <w:sz w:val="24"/>
                <w:szCs w:val="24"/>
                <w:shd w:val="clear" w:color="auto" w:fill="FFFFFF"/>
              </w:rPr>
              <w:t>Associate Lecturers</w:t>
            </w:r>
            <w:r w:rsidR="00D90636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25F8" w:rsidRPr="008A753B" w14:paraId="3E856449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64B7A811" w14:textId="164CD0CA" w:rsidR="00C525F8" w:rsidRDefault="00E27DCC" w:rsidP="00820AC3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07345B6" w14:textId="4FF627F6" w:rsidR="00677BDB" w:rsidRDefault="00EE1730" w:rsidP="00677BD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3ABE">
              <w:rPr>
                <w:b/>
                <w:bCs/>
                <w:color w:val="000000" w:themeColor="text1"/>
                <w:sz w:val="24"/>
                <w:szCs w:val="24"/>
              </w:rPr>
              <w:t>Collective pay bargaining: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D2604">
              <w:rPr>
                <w:color w:val="000000" w:themeColor="text1"/>
                <w:sz w:val="24"/>
                <w:szCs w:val="24"/>
              </w:rPr>
              <w:t>the Committee noted</w:t>
            </w:r>
            <w:r w:rsidR="00677BDB">
              <w:rPr>
                <w:color w:val="000000" w:themeColor="text1"/>
                <w:sz w:val="24"/>
                <w:szCs w:val="24"/>
              </w:rPr>
              <w:t xml:space="preserve"> the</w:t>
            </w:r>
            <w:r w:rsidR="00BD2604">
              <w:rPr>
                <w:color w:val="000000" w:themeColor="text1"/>
                <w:sz w:val="24"/>
                <w:szCs w:val="24"/>
              </w:rPr>
              <w:t xml:space="preserve"> wavering support across the sector for the </w:t>
            </w:r>
            <w:r w:rsidR="00677BDB">
              <w:rPr>
                <w:color w:val="000000" w:themeColor="text1"/>
                <w:sz w:val="24"/>
                <w:szCs w:val="24"/>
              </w:rPr>
              <w:t xml:space="preserve">national </w:t>
            </w:r>
            <w:r w:rsidR="00BD2604">
              <w:rPr>
                <w:color w:val="000000" w:themeColor="text1"/>
                <w:sz w:val="24"/>
                <w:szCs w:val="24"/>
              </w:rPr>
              <w:t>pay bargaining following</w:t>
            </w:r>
            <w:r w:rsidR="00677BD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77BDB">
              <w:rPr>
                <w:color w:val="000000" w:themeColor="text1"/>
                <w:sz w:val="24"/>
                <w:szCs w:val="24"/>
              </w:rPr>
              <w:t>a number of</w:t>
            </w:r>
            <w:proofErr w:type="gramEnd"/>
            <w:r w:rsidR="00677BDB">
              <w:rPr>
                <w:color w:val="000000" w:themeColor="text1"/>
                <w:sz w:val="24"/>
                <w:szCs w:val="24"/>
              </w:rPr>
              <w:t xml:space="preserve"> failures to reach agreement with the unions over the past ten years</w:t>
            </w:r>
            <w:r w:rsidR="00BD2604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 xml:space="preserve">UCEA </w:t>
            </w:r>
            <w:r w:rsidR="00BD2604">
              <w:rPr>
                <w:color w:val="000000" w:themeColor="text1"/>
                <w:sz w:val="24"/>
                <w:szCs w:val="24"/>
              </w:rPr>
              <w:t xml:space="preserve">had recently </w:t>
            </w:r>
            <w:r w:rsidR="00677BD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consulted with </w:t>
            </w:r>
            <w:r w:rsidR="00677BDB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HEIs on </w:t>
            </w:r>
            <w:r w:rsidR="00677BD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</w:t>
            </w:r>
            <w:r w:rsidR="00BD260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future </w:t>
            </w:r>
            <w:r w:rsidR="00677BDB">
              <w:rPr>
                <w:rFonts w:cstheme="minorHAnsi"/>
                <w:sz w:val="24"/>
                <w:szCs w:val="24"/>
                <w:shd w:val="clear" w:color="auto" w:fill="FFFFFF"/>
              </w:rPr>
              <w:t>approach</w:t>
            </w:r>
            <w:r w:rsidR="00677BDB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national pay bargaining</w:t>
            </w:r>
            <w:r w:rsidR="00677BDB">
              <w:rPr>
                <w:color w:val="000000" w:themeColor="text1"/>
                <w:sz w:val="24"/>
                <w:szCs w:val="24"/>
              </w:rPr>
              <w:t xml:space="preserve"> with the following </w:t>
            </w:r>
            <w:r w:rsidR="00677BDB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>three broad categories of response:</w:t>
            </w:r>
            <w:r w:rsidR="00677BD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stick, adapt or replace.</w:t>
            </w:r>
          </w:p>
          <w:p w14:paraId="74B77EB9" w14:textId="26A669AF" w:rsidR="00E06958" w:rsidRPr="00433ABE" w:rsidRDefault="00BD2604" w:rsidP="00E06958">
            <w:pPr>
              <w:spacing w:before="60" w:after="6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Whilst it was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reported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that t</w:t>
            </w:r>
            <w:r w:rsidR="00D90636" w:rsidRPr="00C2774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he University 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had no plans to move away from the </w:t>
            </w:r>
            <w:r w:rsidR="00433ABE" w:rsidRPr="00C2774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national pay bargaining 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framework,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it favoured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C27741">
              <w:rPr>
                <w:rFonts w:cstheme="minorHAnsi"/>
                <w:sz w:val="24"/>
                <w:szCs w:val="24"/>
                <w:shd w:val="clear" w:color="auto" w:fill="FFFFFF"/>
              </w:rPr>
              <w:t>the ‘adapt’ option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(proposed</w:t>
            </w:r>
            <w:r w:rsidRPr="00C2774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changes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of which included</w:t>
            </w:r>
            <w:r w:rsidRPr="00C2774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mandate for consultation and the timing of negotiations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) in recognition t</w:t>
            </w:r>
            <w:r w:rsidR="00D90636" w:rsidRPr="00C2774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hat the current position </w:t>
            </w:r>
            <w:r w:rsidR="00433ABE">
              <w:rPr>
                <w:rFonts w:cstheme="minorHAnsi"/>
                <w:sz w:val="24"/>
                <w:szCs w:val="24"/>
                <w:shd w:val="clear" w:color="auto" w:fill="FFFFFF"/>
              </w:rPr>
              <w:t>was untenable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1730" w:rsidRPr="008A753B" w14:paraId="25B4CF09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0E6E69E5" w14:textId="6FE01527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7F23960C" w14:textId="5CA82EFE" w:rsidR="00EE1730" w:rsidRPr="00B47C9B" w:rsidRDefault="00EE1730" w:rsidP="00EE1730">
            <w:pPr>
              <w:spacing w:before="60" w:after="60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E06958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Annual Sickness Report:</w:t>
            </w:r>
            <w:r w:rsidR="00433AB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the Director of HROD briefed FEC on the </w:t>
            </w:r>
            <w:r w:rsidR="00433ABE" w:rsidRPr="0061177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highlights</w:t>
            </w:r>
            <w:r w:rsidR="00433AB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from the first annual sickness report</w:t>
            </w:r>
            <w:r w:rsidR="005950C6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, including</w:t>
            </w:r>
          </w:p>
          <w:p w14:paraId="1174C80E" w14:textId="77E57CBC" w:rsidR="00E156AE" w:rsidRPr="00E156AE" w:rsidRDefault="00E156AE" w:rsidP="005950C6">
            <w:pPr>
              <w:pStyle w:val="ListParagraph"/>
              <w:numPr>
                <w:ilvl w:val="0"/>
                <w:numId w:val="32"/>
              </w:numPr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the aim of the report to enhance understanding of the impact of sickness absence </w:t>
            </w:r>
            <w:r w:rsidR="00BD260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across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the University and </w:t>
            </w:r>
            <w:r w:rsidR="00BD260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to 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identify further action to improve the position;</w:t>
            </w:r>
          </w:p>
          <w:p w14:paraId="0FD8D13B" w14:textId="5F234E39" w:rsidR="005950C6" w:rsidRPr="005950C6" w:rsidRDefault="00487C2A" w:rsidP="005950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the return of</w:t>
            </w:r>
            <w:r w:rsidR="005950C6"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s</w:t>
            </w:r>
            <w:r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ickness absence levels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to </w:t>
            </w:r>
            <w:r w:rsidRPr="005950C6">
              <w:rPr>
                <w:rFonts w:cstheme="minorHAnsi"/>
                <w:sz w:val="24"/>
                <w:szCs w:val="24"/>
                <w:shd w:val="clear" w:color="auto" w:fill="FFFFFF"/>
              </w:rPr>
              <w:t>pre-pandemic levels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following a significant </w:t>
            </w:r>
            <w:r w:rsidR="005950C6"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decrease in sickness </w:t>
            </w:r>
            <w:r w:rsidR="00E156AE">
              <w:rPr>
                <w:rFonts w:cstheme="minorHAnsi"/>
                <w:sz w:val="24"/>
                <w:szCs w:val="24"/>
                <w:shd w:val="clear" w:color="auto" w:fill="FFFFFF"/>
              </w:rPr>
              <w:t>absence in</w:t>
            </w:r>
            <w:r w:rsidR="005950C6"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2019/20 and 2020/21</w:t>
            </w:r>
            <w:r w:rsidR="00E156A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(the years most affected by Covid-19)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14:paraId="6122E3B4" w14:textId="1B371715" w:rsidR="005950C6" w:rsidRPr="005950C6" w:rsidRDefault="00E156AE" w:rsidP="005950C6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absence 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>levels were</w:t>
            </w:r>
            <w:r w:rsidR="00433ABE"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slightly above the 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>HE</w:t>
            </w:r>
            <w:r w:rsidR="00433ABE" w:rsidRPr="005950C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sector average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though the impact of varying approaches </w:t>
            </w:r>
            <w:r>
              <w:rPr>
                <w:sz w:val="24"/>
                <w:szCs w:val="24"/>
              </w:rPr>
              <w:t xml:space="preserve">to </w:t>
            </w:r>
            <w:r w:rsidR="00433ABE" w:rsidRPr="005950C6">
              <w:rPr>
                <w:sz w:val="24"/>
                <w:szCs w:val="24"/>
              </w:rPr>
              <w:t>outsourcing catering and cleaning services</w:t>
            </w:r>
            <w:r>
              <w:rPr>
                <w:sz w:val="24"/>
                <w:szCs w:val="24"/>
              </w:rPr>
              <w:t xml:space="preserve"> across the sector was noted; </w:t>
            </w:r>
          </w:p>
          <w:p w14:paraId="4919BEC7" w14:textId="388C5CF4" w:rsidR="00433ABE" w:rsidRPr="005950C6" w:rsidRDefault="00E156AE" w:rsidP="005950C6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</w:t>
            </w:r>
            <w:r w:rsidR="00433ABE" w:rsidRPr="005950C6">
              <w:rPr>
                <w:sz w:val="24"/>
                <w:szCs w:val="24"/>
              </w:rPr>
              <w:t xml:space="preserve">igher </w:t>
            </w:r>
            <w:r>
              <w:rPr>
                <w:sz w:val="24"/>
                <w:szCs w:val="24"/>
              </w:rPr>
              <w:t xml:space="preserve">rate of </w:t>
            </w:r>
            <w:r w:rsidR="00433ABE" w:rsidRPr="005950C6">
              <w:rPr>
                <w:sz w:val="24"/>
                <w:szCs w:val="24"/>
              </w:rPr>
              <w:t xml:space="preserve">sickness </w:t>
            </w:r>
            <w:r>
              <w:rPr>
                <w:sz w:val="24"/>
                <w:szCs w:val="24"/>
              </w:rPr>
              <w:t xml:space="preserve">absence amongst </w:t>
            </w:r>
            <w:r w:rsidR="00433ABE" w:rsidRPr="005950C6">
              <w:rPr>
                <w:sz w:val="24"/>
                <w:szCs w:val="24"/>
              </w:rPr>
              <w:t xml:space="preserve">professional services </w:t>
            </w:r>
            <w:r>
              <w:rPr>
                <w:sz w:val="24"/>
                <w:szCs w:val="24"/>
              </w:rPr>
              <w:t>staff than academic staff;</w:t>
            </w:r>
          </w:p>
          <w:p w14:paraId="7BB8ADDC" w14:textId="2B7D52FA" w:rsidR="00433ABE" w:rsidRPr="005950C6" w:rsidRDefault="00433ABE" w:rsidP="005950C6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950C6">
              <w:rPr>
                <w:sz w:val="24"/>
                <w:szCs w:val="24"/>
              </w:rPr>
              <w:t>high levels of sickness absence in Estates and Facilities and in manual roles.</w:t>
            </w:r>
          </w:p>
          <w:p w14:paraId="416AA372" w14:textId="40459408" w:rsidR="00433ABE" w:rsidRPr="005950C6" w:rsidRDefault="00433ABE" w:rsidP="005950C6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24"/>
                <w:szCs w:val="24"/>
              </w:rPr>
            </w:pPr>
            <w:r w:rsidRPr="005950C6">
              <w:rPr>
                <w:sz w:val="24"/>
                <w:szCs w:val="24"/>
              </w:rPr>
              <w:t>mental health-related reasons</w:t>
            </w:r>
            <w:r w:rsidR="00E156AE">
              <w:rPr>
                <w:sz w:val="24"/>
                <w:szCs w:val="24"/>
              </w:rPr>
              <w:t xml:space="preserve"> were cited as the most common reason for absence; and </w:t>
            </w:r>
          </w:p>
          <w:p w14:paraId="071B52E4" w14:textId="5139D0D3" w:rsidR="00433ABE" w:rsidRDefault="00E156AE" w:rsidP="005950C6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decline in the number</w:t>
            </w:r>
            <w:r w:rsidR="00433ABE" w:rsidRPr="005950C6">
              <w:rPr>
                <w:sz w:val="24"/>
                <w:szCs w:val="24"/>
              </w:rPr>
              <w:t xml:space="preserve"> </w:t>
            </w:r>
            <w:r w:rsidR="009B4D5B">
              <w:rPr>
                <w:sz w:val="24"/>
                <w:szCs w:val="24"/>
              </w:rPr>
              <w:t xml:space="preserve">of </w:t>
            </w:r>
            <w:r w:rsidR="00433ABE" w:rsidRPr="005950C6">
              <w:rPr>
                <w:sz w:val="24"/>
                <w:szCs w:val="24"/>
              </w:rPr>
              <w:t xml:space="preserve">people </w:t>
            </w:r>
            <w:r>
              <w:rPr>
                <w:sz w:val="24"/>
                <w:szCs w:val="24"/>
              </w:rPr>
              <w:t>taking sickness absence</w:t>
            </w:r>
            <w:r w:rsidR="00433ABE" w:rsidRPr="005950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contrasted with a rise in </w:t>
            </w:r>
            <w:r w:rsidR="00433ABE" w:rsidRPr="005950C6">
              <w:rPr>
                <w:sz w:val="24"/>
                <w:szCs w:val="24"/>
              </w:rPr>
              <w:t>the average length</w:t>
            </w:r>
            <w:r>
              <w:rPr>
                <w:sz w:val="24"/>
                <w:szCs w:val="24"/>
              </w:rPr>
              <w:t xml:space="preserve"> </w:t>
            </w:r>
            <w:r w:rsidR="00433ABE" w:rsidRPr="005950C6">
              <w:rPr>
                <w:sz w:val="24"/>
                <w:szCs w:val="24"/>
              </w:rPr>
              <w:t>of individual sickness absences</w:t>
            </w:r>
            <w:r>
              <w:rPr>
                <w:sz w:val="24"/>
                <w:szCs w:val="24"/>
              </w:rPr>
              <w:t>.</w:t>
            </w:r>
          </w:p>
          <w:p w14:paraId="3CE12E2A" w14:textId="286DF621" w:rsidR="00FC4020" w:rsidRPr="00E06958" w:rsidRDefault="00E156AE" w:rsidP="00E06958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It was noted that c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ommunicating information and analysis of sickness absence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was 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key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to reducing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absence levels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that d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epartments and services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would be asked to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create sickness action plans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to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address the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specific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trends in their areas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>. P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rogress against 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these plans would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be monitored through 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new workforce dashboards 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>issued to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Directors and Heads of Department, </w:t>
            </w:r>
            <w:r w:rsidR="00487C2A">
              <w:rPr>
                <w:rFonts w:cstheme="minorHAnsi"/>
                <w:sz w:val="24"/>
                <w:szCs w:val="24"/>
                <w:shd w:val="clear" w:color="auto" w:fill="FFFFFF"/>
              </w:rPr>
              <w:t>supported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by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Senior HROD Business Partners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="005950C6" w:rsidRPr="00CD12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2394D" w:rsidRPr="008A753B" w14:paraId="35FC8845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744CFCE7" w14:textId="2DBE3FDE" w:rsidR="0092394D" w:rsidRDefault="0092394D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D7896BB" w14:textId="38EEDCBD" w:rsidR="0092394D" w:rsidRDefault="0092394D" w:rsidP="0092394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commented </w:t>
            </w:r>
            <w:r w:rsidR="00487C2A">
              <w:rPr>
                <w:sz w:val="24"/>
                <w:szCs w:val="24"/>
              </w:rPr>
              <w:t>on the</w:t>
            </w:r>
            <w:r>
              <w:rPr>
                <w:sz w:val="24"/>
                <w:szCs w:val="24"/>
              </w:rPr>
              <w:t xml:space="preserve"> findings of last year’s Pulse Survey</w:t>
            </w:r>
            <w:r w:rsidR="00487C2A">
              <w:rPr>
                <w:sz w:val="24"/>
                <w:szCs w:val="24"/>
              </w:rPr>
              <w:t xml:space="preserve"> which</w:t>
            </w:r>
            <w:r>
              <w:rPr>
                <w:sz w:val="24"/>
                <w:szCs w:val="24"/>
              </w:rPr>
              <w:t xml:space="preserve"> reflected the above trends and enquired into the underlying factors. The Director of HROD </w:t>
            </w:r>
            <w:r w:rsidR="00487C2A">
              <w:rPr>
                <w:sz w:val="24"/>
                <w:szCs w:val="24"/>
              </w:rPr>
              <w:t>highlighted</w:t>
            </w:r>
            <w:r>
              <w:rPr>
                <w:sz w:val="24"/>
                <w:szCs w:val="24"/>
              </w:rPr>
              <w:t xml:space="preserve"> that </w:t>
            </w:r>
            <w:r w:rsidR="00A862E9">
              <w:rPr>
                <w:sz w:val="24"/>
                <w:szCs w:val="24"/>
              </w:rPr>
              <w:t xml:space="preserve">the </w:t>
            </w:r>
            <w:r w:rsidR="00576088">
              <w:rPr>
                <w:sz w:val="24"/>
                <w:szCs w:val="24"/>
              </w:rPr>
              <w:t>long-term</w:t>
            </w:r>
            <w:r>
              <w:rPr>
                <w:sz w:val="24"/>
                <w:szCs w:val="24"/>
              </w:rPr>
              <w:t xml:space="preserve"> sickness trend </w:t>
            </w:r>
            <w:r w:rsidR="00487C2A">
              <w:rPr>
                <w:sz w:val="24"/>
                <w:szCs w:val="24"/>
              </w:rPr>
              <w:t>across the University</w:t>
            </w:r>
            <w:r>
              <w:rPr>
                <w:sz w:val="24"/>
                <w:szCs w:val="24"/>
              </w:rPr>
              <w:t xml:space="preserve"> may be linked to the level of vacancies the University was carrying (</w:t>
            </w:r>
            <w:r w:rsidR="00487C2A">
              <w:rPr>
                <w:sz w:val="24"/>
                <w:szCs w:val="24"/>
              </w:rPr>
              <w:t>in line with the rest of the</w:t>
            </w:r>
            <w:r>
              <w:rPr>
                <w:sz w:val="24"/>
                <w:szCs w:val="24"/>
              </w:rPr>
              <w:t xml:space="preserve"> sector) and post pandemic period adjustments such as hybrid working. </w:t>
            </w:r>
          </w:p>
          <w:p w14:paraId="463B87BB" w14:textId="50C46B0D" w:rsidR="0092394D" w:rsidRDefault="0092394D" w:rsidP="0092394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Chief People Officer and Pro Vice-Chancellor (Diversity and Inclusion) (CPO/ PVCDI) reported that</w:t>
            </w:r>
            <w:r w:rsidR="00487C2A">
              <w:rPr>
                <w:sz w:val="24"/>
                <w:szCs w:val="24"/>
              </w:rPr>
              <w:t xml:space="preserve">, whilst </w:t>
            </w:r>
            <w:r>
              <w:rPr>
                <w:sz w:val="24"/>
                <w:szCs w:val="24"/>
              </w:rPr>
              <w:t>working from home may be masking some sickness</w:t>
            </w:r>
            <w:r w:rsidR="00487C2A">
              <w:rPr>
                <w:sz w:val="24"/>
                <w:szCs w:val="24"/>
              </w:rPr>
              <w:t>, the incidence of mental health and muscular skeletal issues was increasing</w:t>
            </w:r>
            <w:r>
              <w:rPr>
                <w:sz w:val="24"/>
                <w:szCs w:val="24"/>
              </w:rPr>
              <w:t xml:space="preserve">. It was noted that a further Pulse Survey </w:t>
            </w:r>
            <w:r w:rsidR="00487C2A">
              <w:rPr>
                <w:sz w:val="24"/>
                <w:szCs w:val="24"/>
              </w:rPr>
              <w:t xml:space="preserve">was due to </w:t>
            </w:r>
            <w:r>
              <w:rPr>
                <w:sz w:val="24"/>
                <w:szCs w:val="24"/>
              </w:rPr>
              <w:t xml:space="preserve">be issued in Spring </w:t>
            </w:r>
            <w:r w:rsidR="00487C2A">
              <w:rPr>
                <w:sz w:val="24"/>
                <w:szCs w:val="24"/>
              </w:rPr>
              <w:t>2023 and would</w:t>
            </w:r>
            <w:r>
              <w:rPr>
                <w:sz w:val="24"/>
                <w:szCs w:val="24"/>
              </w:rPr>
              <w:t xml:space="preserve"> focus on post Covid working patterns. </w:t>
            </w:r>
          </w:p>
          <w:p w14:paraId="74D2FE40" w14:textId="685E4715" w:rsidR="0092394D" w:rsidRDefault="0092394D" w:rsidP="0092394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query on </w:t>
            </w:r>
            <w:r w:rsidR="00783784">
              <w:rPr>
                <w:sz w:val="24"/>
                <w:szCs w:val="24"/>
              </w:rPr>
              <w:t xml:space="preserve">the seasonal pattern of </w:t>
            </w:r>
            <w:r>
              <w:rPr>
                <w:sz w:val="24"/>
                <w:szCs w:val="24"/>
              </w:rPr>
              <w:t xml:space="preserve">sickness </w:t>
            </w:r>
            <w:r w:rsidR="00A862E9">
              <w:rPr>
                <w:sz w:val="24"/>
                <w:szCs w:val="24"/>
              </w:rPr>
              <w:t>absence rates, the Director of HROD</w:t>
            </w:r>
            <w:r>
              <w:rPr>
                <w:sz w:val="24"/>
                <w:szCs w:val="24"/>
              </w:rPr>
              <w:t xml:space="preserve"> </w:t>
            </w:r>
            <w:r w:rsidR="00A862E9">
              <w:rPr>
                <w:sz w:val="24"/>
                <w:szCs w:val="24"/>
              </w:rPr>
              <w:t xml:space="preserve">confirmed that the </w:t>
            </w:r>
            <w:r>
              <w:rPr>
                <w:sz w:val="24"/>
                <w:szCs w:val="24"/>
              </w:rPr>
              <w:t xml:space="preserve">pattern </w:t>
            </w:r>
            <w:r w:rsidR="00A862E9">
              <w:rPr>
                <w:sz w:val="24"/>
                <w:szCs w:val="24"/>
              </w:rPr>
              <w:t>was</w:t>
            </w:r>
            <w:r>
              <w:rPr>
                <w:sz w:val="24"/>
                <w:szCs w:val="24"/>
              </w:rPr>
              <w:t xml:space="preserve"> representative of most organisations </w:t>
            </w:r>
            <w:r w:rsidR="00A862E9">
              <w:rPr>
                <w:sz w:val="24"/>
                <w:szCs w:val="24"/>
              </w:rPr>
              <w:t>and suggested</w:t>
            </w:r>
            <w:r w:rsidR="00783784">
              <w:rPr>
                <w:sz w:val="24"/>
                <w:szCs w:val="24"/>
              </w:rPr>
              <w:t xml:space="preserve"> the need for</w:t>
            </w:r>
            <w:r w:rsidR="00A862E9">
              <w:rPr>
                <w:sz w:val="24"/>
                <w:szCs w:val="24"/>
              </w:rPr>
              <w:t xml:space="preserve"> further </w:t>
            </w:r>
            <w:r>
              <w:rPr>
                <w:sz w:val="24"/>
                <w:szCs w:val="24"/>
              </w:rPr>
              <w:t xml:space="preserve">support </w:t>
            </w:r>
            <w:r w:rsidR="00A862E9">
              <w:rPr>
                <w:sz w:val="24"/>
                <w:szCs w:val="24"/>
              </w:rPr>
              <w:t>for staff over the winter</w:t>
            </w:r>
            <w:r w:rsidR="00783784">
              <w:rPr>
                <w:sz w:val="24"/>
                <w:szCs w:val="24"/>
              </w:rPr>
              <w:t xml:space="preserve"> months</w:t>
            </w:r>
            <w:r w:rsidR="00A862E9">
              <w:rPr>
                <w:sz w:val="24"/>
                <w:szCs w:val="24"/>
              </w:rPr>
              <w:t>.</w:t>
            </w:r>
          </w:p>
          <w:p w14:paraId="488F2147" w14:textId="415D1CEF" w:rsidR="0092394D" w:rsidRPr="007C1BD5" w:rsidRDefault="00A862E9" w:rsidP="00A862E9">
            <w:pPr>
              <w:spacing w:before="60" w:after="60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 discussed the support </w:t>
            </w:r>
            <w:r w:rsidR="000E0F0B">
              <w:rPr>
                <w:sz w:val="24"/>
                <w:szCs w:val="24"/>
              </w:rPr>
              <w:t xml:space="preserve">available </w:t>
            </w:r>
            <w:r>
              <w:rPr>
                <w:sz w:val="24"/>
                <w:szCs w:val="24"/>
              </w:rPr>
              <w:t>for</w:t>
            </w:r>
            <w:r w:rsidR="0092394D">
              <w:rPr>
                <w:sz w:val="24"/>
                <w:szCs w:val="24"/>
              </w:rPr>
              <w:t xml:space="preserve"> managers</w:t>
            </w:r>
            <w:r w:rsidR="000E0F0B">
              <w:rPr>
                <w:sz w:val="24"/>
                <w:szCs w:val="24"/>
              </w:rPr>
              <w:t xml:space="preserve"> </w:t>
            </w:r>
            <w:r w:rsidR="0092394D">
              <w:rPr>
                <w:sz w:val="24"/>
                <w:szCs w:val="24"/>
              </w:rPr>
              <w:t xml:space="preserve">in </w:t>
            </w:r>
            <w:r w:rsidR="000E0F0B">
              <w:rPr>
                <w:sz w:val="24"/>
                <w:szCs w:val="24"/>
              </w:rPr>
              <w:t>conducting</w:t>
            </w:r>
            <w:r w:rsidR="0092394D">
              <w:rPr>
                <w:sz w:val="24"/>
                <w:szCs w:val="24"/>
              </w:rPr>
              <w:t xml:space="preserve"> wellbeing conversations</w:t>
            </w:r>
            <w:r w:rsidR="000E0F0B">
              <w:rPr>
                <w:sz w:val="24"/>
                <w:szCs w:val="24"/>
              </w:rPr>
              <w:t>,</w:t>
            </w:r>
            <w:r w:rsidR="00487C2A">
              <w:rPr>
                <w:sz w:val="24"/>
                <w:szCs w:val="24"/>
              </w:rPr>
              <w:t xml:space="preserve"> including</w:t>
            </w:r>
            <w:r w:rsidR="000E0F0B">
              <w:rPr>
                <w:sz w:val="24"/>
                <w:szCs w:val="24"/>
              </w:rPr>
              <w:t xml:space="preserve"> </w:t>
            </w:r>
            <w:r w:rsidR="00487C2A">
              <w:rPr>
                <w:sz w:val="24"/>
                <w:szCs w:val="24"/>
              </w:rPr>
              <w:t xml:space="preserve">training </w:t>
            </w:r>
            <w:r w:rsidR="0092394D">
              <w:rPr>
                <w:sz w:val="24"/>
                <w:szCs w:val="24"/>
              </w:rPr>
              <w:t xml:space="preserve">modules to </w:t>
            </w:r>
            <w:r w:rsidR="000E0F0B">
              <w:rPr>
                <w:sz w:val="24"/>
                <w:szCs w:val="24"/>
              </w:rPr>
              <w:t>assist</w:t>
            </w:r>
            <w:r w:rsidR="00923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line managers </w:t>
            </w:r>
            <w:r w:rsidR="000E0F0B">
              <w:rPr>
                <w:sz w:val="24"/>
                <w:szCs w:val="24"/>
              </w:rPr>
              <w:t xml:space="preserve">in </w:t>
            </w:r>
            <w:r w:rsidR="00487C2A">
              <w:rPr>
                <w:sz w:val="24"/>
                <w:szCs w:val="24"/>
              </w:rPr>
              <w:t>this area</w:t>
            </w:r>
            <w:r w:rsidR="000E0F0B">
              <w:rPr>
                <w:sz w:val="24"/>
                <w:szCs w:val="24"/>
              </w:rPr>
              <w:t xml:space="preserve"> and work on Performance Development Reviews (</w:t>
            </w:r>
            <w:r w:rsidR="0092394D">
              <w:rPr>
                <w:sz w:val="24"/>
                <w:szCs w:val="24"/>
              </w:rPr>
              <w:t>PDRs</w:t>
            </w:r>
            <w:r w:rsidR="000E0F0B">
              <w:rPr>
                <w:sz w:val="24"/>
                <w:szCs w:val="24"/>
              </w:rPr>
              <w:t>) to encourage staf</w:t>
            </w:r>
            <w:r w:rsidR="0092394D">
              <w:rPr>
                <w:sz w:val="24"/>
                <w:szCs w:val="24"/>
              </w:rPr>
              <w:t xml:space="preserve">f to align with </w:t>
            </w:r>
            <w:r w:rsidR="000E0F0B">
              <w:rPr>
                <w:sz w:val="24"/>
                <w:szCs w:val="24"/>
              </w:rPr>
              <w:t xml:space="preserve">the </w:t>
            </w:r>
            <w:r w:rsidR="0092394D">
              <w:rPr>
                <w:sz w:val="24"/>
                <w:szCs w:val="24"/>
              </w:rPr>
              <w:t>new working practices</w:t>
            </w:r>
            <w:r w:rsidR="000E0F0B">
              <w:rPr>
                <w:sz w:val="24"/>
                <w:szCs w:val="24"/>
              </w:rPr>
              <w:t>.</w:t>
            </w:r>
          </w:p>
        </w:tc>
      </w:tr>
      <w:tr w:rsidR="007C1BD5" w:rsidRPr="008A753B" w14:paraId="39B5B073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EA61B8" w14:textId="1E230AAC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39B39707" w14:textId="1AABDB5C" w:rsidR="007C1BD5" w:rsidRPr="000E0F0B" w:rsidRDefault="007C1BD5" w:rsidP="002161C5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EE1730" w:rsidRPr="008A753B" w14:paraId="25E8E894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5F21C38" w14:textId="4C869F6D" w:rsidR="00EE1730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7431647C" w14:textId="74ACC02A" w:rsidR="00EE1730" w:rsidRPr="005E56A9" w:rsidRDefault="00EE1730" w:rsidP="002161C5">
            <w:pPr>
              <w:spacing w:before="60" w:after="60"/>
              <w:rPr>
                <w:sz w:val="24"/>
                <w:szCs w:val="24"/>
              </w:rPr>
            </w:pPr>
            <w:r w:rsidRPr="000E0F0B">
              <w:rPr>
                <w:b/>
                <w:bCs/>
                <w:color w:val="000000" w:themeColor="text1"/>
                <w:sz w:val="24"/>
                <w:szCs w:val="24"/>
              </w:rPr>
              <w:t>Staff costings: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E0F0B">
              <w:rPr>
                <w:color w:val="000000" w:themeColor="text1"/>
                <w:sz w:val="24"/>
                <w:szCs w:val="24"/>
              </w:rPr>
              <w:t xml:space="preserve">FEC </w:t>
            </w:r>
            <w:r w:rsidR="00FC4020">
              <w:rPr>
                <w:color w:val="000000" w:themeColor="text1"/>
                <w:sz w:val="24"/>
                <w:szCs w:val="24"/>
              </w:rPr>
              <w:t>noted</w:t>
            </w:r>
            <w:r w:rsidR="000E0F0B">
              <w:rPr>
                <w:color w:val="000000" w:themeColor="text1"/>
                <w:sz w:val="24"/>
                <w:szCs w:val="24"/>
              </w:rPr>
              <w:t xml:space="preserve"> the challenges presented by rising staff costs and recent consideration by </w:t>
            </w:r>
            <w:r w:rsidR="000E0F0B" w:rsidRPr="00043BD7">
              <w:rPr>
                <w:sz w:val="24"/>
                <w:szCs w:val="24"/>
              </w:rPr>
              <w:t>the University Executive Board (UEB) on the</w:t>
            </w:r>
            <w:r w:rsidR="005950C6" w:rsidRPr="00043BD7">
              <w:rPr>
                <w:sz w:val="24"/>
                <w:szCs w:val="24"/>
              </w:rPr>
              <w:t xml:space="preserve"> options available</w:t>
            </w:r>
            <w:r w:rsidR="00043BD7" w:rsidRPr="00043BD7">
              <w:rPr>
                <w:sz w:val="24"/>
                <w:szCs w:val="24"/>
              </w:rPr>
              <w:t xml:space="preserve"> to create efficiency savings</w:t>
            </w:r>
            <w:r w:rsidR="007C1BD5">
              <w:rPr>
                <w:sz w:val="24"/>
                <w:szCs w:val="24"/>
              </w:rPr>
              <w:t>. A confidential minute was recorded.</w:t>
            </w:r>
          </w:p>
        </w:tc>
      </w:tr>
      <w:tr w:rsidR="00EE1730" w:rsidRPr="008A753B" w14:paraId="7BFFB330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A0EBCD8" w14:textId="21833693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bookmarkStart w:id="2" w:name="_Hlk128499447"/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124428A7" w14:textId="11C0DB4C" w:rsidR="00EE1730" w:rsidRPr="00004D0F" w:rsidRDefault="00EE1730" w:rsidP="00EE173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04D0F">
              <w:rPr>
                <w:b/>
                <w:bCs/>
                <w:sz w:val="24"/>
                <w:szCs w:val="24"/>
              </w:rPr>
              <w:t>Staff Wellbeing Update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6F89A1" w14:textId="0F872463" w:rsidR="00EE1730" w:rsidRPr="00EE70CB" w:rsidRDefault="00EE1730" w:rsidP="00EE1730">
            <w:pPr>
              <w:pStyle w:val="Heading3"/>
              <w:spacing w:before="60" w:after="60"/>
              <w:ind w:left="-113" w:right="-110"/>
              <w:jc w:val="right"/>
              <w:rPr>
                <w:sz w:val="24"/>
              </w:rPr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5.2</w:t>
            </w:r>
          </w:p>
        </w:tc>
      </w:tr>
      <w:tr w:rsidR="00EE1730" w:rsidRPr="008A753B" w14:paraId="34B04822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9307A9A" w14:textId="6C098FC9" w:rsidR="00EE1730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1737A519" w14:textId="77C56639" w:rsidR="002161C5" w:rsidRDefault="00E07809" w:rsidP="00C66E1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Committee noted that, f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ollowing the </w:t>
            </w:r>
            <w:r w:rsidR="002161C5" w:rsidRPr="002161C5">
              <w:rPr>
                <w:color w:val="000000" w:themeColor="text1"/>
                <w:sz w:val="24"/>
                <w:szCs w:val="24"/>
              </w:rPr>
              <w:t xml:space="preserve">adoption of the hybrid 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working model, a refreshed staff wellbeing strategy </w:t>
            </w:r>
            <w:r w:rsidR="00783784">
              <w:rPr>
                <w:color w:val="000000" w:themeColor="text1"/>
                <w:sz w:val="24"/>
                <w:szCs w:val="24"/>
              </w:rPr>
              <w:t>had been</w:t>
            </w:r>
            <w:r w:rsidR="002161C5" w:rsidRPr="002161C5">
              <w:rPr>
                <w:color w:val="000000" w:themeColor="text1"/>
                <w:sz w:val="24"/>
                <w:szCs w:val="24"/>
              </w:rPr>
              <w:t xml:space="preserve"> developed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, supported by a wellbeing delivery plan </w:t>
            </w:r>
            <w:r w:rsidR="002161C5">
              <w:rPr>
                <w:color w:val="000000" w:themeColor="text1"/>
                <w:sz w:val="24"/>
                <w:szCs w:val="24"/>
              </w:rPr>
              <w:t>over the subsequent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 two years. </w:t>
            </w:r>
            <w:r w:rsidR="002161C5">
              <w:rPr>
                <w:color w:val="000000" w:themeColor="text1"/>
                <w:sz w:val="24"/>
                <w:szCs w:val="24"/>
              </w:rPr>
              <w:t>The strategy was focussed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 around six strands - </w:t>
            </w:r>
            <w:proofErr w:type="spellStart"/>
            <w:r w:rsidR="00043BD7" w:rsidRPr="002161C5">
              <w:rPr>
                <w:color w:val="000000" w:themeColor="text1"/>
                <w:sz w:val="24"/>
                <w:szCs w:val="24"/>
              </w:rPr>
              <w:t>Worklife</w:t>
            </w:r>
            <w:proofErr w:type="spellEnd"/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 Wellbeing, Mental Wellbeing, Financial Wellbeing, Physical Wellbeing, Social Wellbeing and Digital Wellb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>ing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with the first </w:t>
            </w:r>
            <w:r w:rsidR="002161C5">
              <w:rPr>
                <w:color w:val="000000" w:themeColor="text1"/>
                <w:sz w:val="24"/>
                <w:szCs w:val="24"/>
              </w:rPr>
              <w:t xml:space="preserve">three themes </w:t>
            </w:r>
            <w:r>
              <w:rPr>
                <w:color w:val="000000" w:themeColor="text1"/>
                <w:sz w:val="24"/>
                <w:szCs w:val="24"/>
              </w:rPr>
              <w:t xml:space="preserve">having been </w:t>
            </w:r>
            <w:r w:rsidR="002161C5">
              <w:rPr>
                <w:color w:val="000000" w:themeColor="text1"/>
                <w:sz w:val="24"/>
                <w:szCs w:val="24"/>
              </w:rPr>
              <w:t>identified as focus areas for 2022/</w:t>
            </w:r>
            <w:r>
              <w:rPr>
                <w:color w:val="000000" w:themeColor="text1"/>
                <w:sz w:val="24"/>
                <w:szCs w:val="24"/>
              </w:rPr>
              <w:t>23.</w:t>
            </w:r>
          </w:p>
          <w:p w14:paraId="1D694776" w14:textId="3FC6609F" w:rsidR="00FC4020" w:rsidRDefault="002161C5" w:rsidP="00C66E1B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Members were briefed on a w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ide range of activities </w:t>
            </w:r>
            <w:r w:rsidR="00E07809">
              <w:rPr>
                <w:color w:val="000000" w:themeColor="text1"/>
                <w:sz w:val="24"/>
                <w:szCs w:val="24"/>
              </w:rPr>
              <w:t>associated with eac</w:t>
            </w:r>
            <w:r w:rsidR="00043BD7" w:rsidRPr="002161C5">
              <w:rPr>
                <w:color w:val="000000" w:themeColor="text1"/>
                <w:sz w:val="24"/>
                <w:szCs w:val="24"/>
              </w:rPr>
              <w:t xml:space="preserve">h </w:t>
            </w:r>
            <w:r w:rsidR="00E07809">
              <w:rPr>
                <w:color w:val="000000" w:themeColor="text1"/>
                <w:sz w:val="24"/>
                <w:szCs w:val="24"/>
              </w:rPr>
              <w:t>theme</w:t>
            </w:r>
            <w:r>
              <w:rPr>
                <w:color w:val="000000" w:themeColor="text1"/>
                <w:sz w:val="24"/>
                <w:szCs w:val="24"/>
              </w:rPr>
              <w:t xml:space="preserve">, including a pilot of </w:t>
            </w:r>
            <w:r w:rsidR="00043BD7" w:rsidRPr="00396AB8">
              <w:rPr>
                <w:sz w:val="24"/>
                <w:szCs w:val="24"/>
              </w:rPr>
              <w:t>onsite health kiosks</w:t>
            </w:r>
            <w:r w:rsidR="00E07809">
              <w:rPr>
                <w:sz w:val="24"/>
                <w:szCs w:val="24"/>
              </w:rPr>
              <w:t>; t</w:t>
            </w:r>
            <w:r>
              <w:rPr>
                <w:sz w:val="24"/>
                <w:szCs w:val="24"/>
              </w:rPr>
              <w:t xml:space="preserve">he initiative </w:t>
            </w:r>
            <w:r w:rsidR="00E07809">
              <w:rPr>
                <w:sz w:val="24"/>
                <w:szCs w:val="24"/>
              </w:rPr>
              <w:t xml:space="preserve">had proved popular with staff and students alike </w:t>
            </w:r>
            <w:r>
              <w:rPr>
                <w:sz w:val="24"/>
                <w:szCs w:val="24"/>
              </w:rPr>
              <w:t xml:space="preserve">and </w:t>
            </w:r>
            <w:r w:rsidR="00E07809">
              <w:rPr>
                <w:sz w:val="24"/>
                <w:szCs w:val="24"/>
              </w:rPr>
              <w:t>the key findings of the pilot evaluation would be prese</w:t>
            </w:r>
            <w:r>
              <w:rPr>
                <w:sz w:val="24"/>
                <w:szCs w:val="24"/>
              </w:rPr>
              <w:t xml:space="preserve">nted to </w:t>
            </w:r>
            <w:r w:rsidR="00FC4020">
              <w:rPr>
                <w:sz w:val="24"/>
                <w:szCs w:val="24"/>
              </w:rPr>
              <w:t>FEC.</w:t>
            </w:r>
          </w:p>
          <w:p w14:paraId="6EC3156F" w14:textId="2C04771A" w:rsidR="002161C5" w:rsidRDefault="002161C5" w:rsidP="00C66E1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response to a member’s query on the d</w:t>
            </w:r>
            <w:r w:rsidR="00FC4020">
              <w:rPr>
                <w:sz w:val="24"/>
                <w:szCs w:val="24"/>
              </w:rPr>
              <w:t>ifferent approach</w:t>
            </w:r>
            <w:r w:rsidR="00E07809">
              <w:rPr>
                <w:sz w:val="24"/>
                <w:szCs w:val="24"/>
              </w:rPr>
              <w:t>es</w:t>
            </w:r>
            <w:r w:rsidR="00FC4020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student and staff</w:t>
            </w:r>
            <w:r w:rsidR="00E07809">
              <w:rPr>
                <w:sz w:val="24"/>
                <w:szCs w:val="24"/>
              </w:rPr>
              <w:t xml:space="preserve"> wellbeing,</w:t>
            </w:r>
            <w:r>
              <w:rPr>
                <w:sz w:val="24"/>
                <w:szCs w:val="24"/>
              </w:rPr>
              <w:t xml:space="preserve"> it was reported that HROD was </w:t>
            </w:r>
            <w:r w:rsidR="00FC4020">
              <w:rPr>
                <w:sz w:val="24"/>
                <w:szCs w:val="24"/>
              </w:rPr>
              <w:t xml:space="preserve">working </w:t>
            </w:r>
            <w:r>
              <w:rPr>
                <w:sz w:val="24"/>
                <w:szCs w:val="24"/>
              </w:rPr>
              <w:t xml:space="preserve">closely </w:t>
            </w:r>
            <w:r w:rsidR="00FC4020">
              <w:rPr>
                <w:sz w:val="24"/>
                <w:szCs w:val="24"/>
              </w:rPr>
              <w:t xml:space="preserve">with student facing colleagues under </w:t>
            </w:r>
            <w:r w:rsidR="00E06958">
              <w:rPr>
                <w:sz w:val="24"/>
                <w:szCs w:val="24"/>
              </w:rPr>
              <w:t xml:space="preserve">the </w:t>
            </w:r>
            <w:r w:rsidR="00FC4020">
              <w:rPr>
                <w:sz w:val="24"/>
                <w:szCs w:val="24"/>
              </w:rPr>
              <w:t xml:space="preserve">Mental Health Charter </w:t>
            </w:r>
            <w:r w:rsidR="00E06958">
              <w:rPr>
                <w:sz w:val="24"/>
                <w:szCs w:val="24"/>
              </w:rPr>
              <w:t>to</w:t>
            </w:r>
            <w:r w:rsidRPr="00396AB8">
              <w:rPr>
                <w:rFonts w:eastAsia="Calibri" w:cstheme="minorHAnsi"/>
                <w:sz w:val="24"/>
                <w:szCs w:val="24"/>
                <w:shd w:val="clear" w:color="auto" w:fill="FFFFFF"/>
                <w:lang w:eastAsia="en-GB"/>
              </w:rPr>
              <w:t xml:space="preserve"> align </w:t>
            </w:r>
            <w:r w:rsidR="00E06958">
              <w:rPr>
                <w:rFonts w:eastAsia="Calibri" w:cstheme="minorHAnsi"/>
                <w:sz w:val="24"/>
                <w:szCs w:val="24"/>
                <w:shd w:val="clear" w:color="auto" w:fill="FFFFFF"/>
                <w:lang w:eastAsia="en-GB"/>
              </w:rPr>
              <w:t>the University’s</w:t>
            </w:r>
            <w:r w:rsidRPr="00396AB8">
              <w:rPr>
                <w:rFonts w:eastAsia="Calibri" w:cstheme="minorHAnsi"/>
                <w:sz w:val="24"/>
                <w:szCs w:val="24"/>
                <w:shd w:val="clear" w:color="auto" w:fill="FFFFFF"/>
                <w:lang w:eastAsia="en-GB"/>
              </w:rPr>
              <w:t xml:space="preserve"> wellbeing offer </w:t>
            </w:r>
            <w:r w:rsidR="00E06958">
              <w:rPr>
                <w:rFonts w:eastAsia="Calibri" w:cstheme="minorHAnsi"/>
                <w:sz w:val="24"/>
                <w:szCs w:val="24"/>
                <w:shd w:val="clear" w:color="auto" w:fill="FFFFFF"/>
                <w:lang w:eastAsia="en-GB"/>
              </w:rPr>
              <w:t>as far as possible</w:t>
            </w:r>
            <w:r w:rsidR="00E06958">
              <w:rPr>
                <w:sz w:val="24"/>
                <w:szCs w:val="24"/>
              </w:rPr>
              <w:t xml:space="preserve"> given the</w:t>
            </w:r>
            <w:r>
              <w:rPr>
                <w:sz w:val="24"/>
                <w:szCs w:val="24"/>
              </w:rPr>
              <w:t xml:space="preserve"> </w:t>
            </w:r>
            <w:r w:rsidR="00E06958">
              <w:rPr>
                <w:sz w:val="24"/>
                <w:szCs w:val="24"/>
              </w:rPr>
              <w:t xml:space="preserve">high level of demand </w:t>
            </w:r>
            <w:r>
              <w:rPr>
                <w:sz w:val="24"/>
                <w:szCs w:val="24"/>
              </w:rPr>
              <w:t xml:space="preserve">for services. </w:t>
            </w:r>
            <w:r w:rsidR="00E06958">
              <w:rPr>
                <w:rFonts w:cstheme="minorHAnsi"/>
                <w:sz w:val="24"/>
                <w:szCs w:val="24"/>
              </w:rPr>
              <w:t>It was</w:t>
            </w:r>
            <w:r w:rsidR="00B267C2">
              <w:rPr>
                <w:rFonts w:cstheme="minorHAnsi"/>
                <w:sz w:val="24"/>
                <w:szCs w:val="24"/>
              </w:rPr>
              <w:t xml:space="preserve"> also</w:t>
            </w:r>
            <w:r w:rsidR="00E06958">
              <w:rPr>
                <w:rFonts w:cstheme="minorHAnsi"/>
                <w:sz w:val="24"/>
                <w:szCs w:val="24"/>
              </w:rPr>
              <w:t xml:space="preserve"> noted that HROD was</w:t>
            </w:r>
            <w:r w:rsidRPr="00396AB8">
              <w:rPr>
                <w:rFonts w:cstheme="minorHAnsi"/>
                <w:sz w:val="24"/>
                <w:szCs w:val="24"/>
              </w:rPr>
              <w:t xml:space="preserve"> </w:t>
            </w:r>
            <w:r w:rsidR="00B267C2">
              <w:rPr>
                <w:rFonts w:cstheme="minorHAnsi"/>
                <w:sz w:val="24"/>
                <w:szCs w:val="24"/>
              </w:rPr>
              <w:t>collaborating</w:t>
            </w:r>
            <w:r w:rsidRPr="00396AB8">
              <w:rPr>
                <w:rFonts w:cstheme="minorHAnsi"/>
                <w:sz w:val="24"/>
                <w:szCs w:val="24"/>
              </w:rPr>
              <w:t xml:space="preserve"> with Student Wellbeing </w:t>
            </w:r>
            <w:r w:rsidR="00B267C2">
              <w:rPr>
                <w:rFonts w:cstheme="minorHAnsi"/>
                <w:sz w:val="24"/>
                <w:szCs w:val="24"/>
              </w:rPr>
              <w:t>on identifying</w:t>
            </w:r>
            <w:r w:rsidRPr="00396AB8">
              <w:rPr>
                <w:rFonts w:cstheme="minorHAnsi"/>
                <w:sz w:val="24"/>
                <w:szCs w:val="24"/>
              </w:rPr>
              <w:t xml:space="preserve"> </w:t>
            </w:r>
            <w:r w:rsidR="00B267C2">
              <w:rPr>
                <w:rFonts w:cstheme="minorHAnsi"/>
                <w:sz w:val="24"/>
                <w:szCs w:val="24"/>
              </w:rPr>
              <w:t>potential</w:t>
            </w:r>
            <w:r w:rsidRPr="00396AB8">
              <w:rPr>
                <w:rFonts w:cstheme="minorHAnsi"/>
                <w:sz w:val="24"/>
                <w:szCs w:val="24"/>
              </w:rPr>
              <w:t xml:space="preserve"> training providers for an online provision that </w:t>
            </w:r>
            <w:r w:rsidR="00B267C2">
              <w:rPr>
                <w:rFonts w:cstheme="minorHAnsi"/>
                <w:sz w:val="24"/>
                <w:szCs w:val="24"/>
              </w:rPr>
              <w:t>would</w:t>
            </w:r>
            <w:r w:rsidRPr="00396AB8">
              <w:rPr>
                <w:rFonts w:cstheme="minorHAnsi"/>
                <w:sz w:val="24"/>
                <w:szCs w:val="24"/>
              </w:rPr>
              <w:t xml:space="preserve"> meet both staff and student needs. </w:t>
            </w:r>
          </w:p>
          <w:p w14:paraId="5DA59775" w14:textId="3AA9898F" w:rsidR="00EC557E" w:rsidRPr="00FC4020" w:rsidRDefault="00E06958" w:rsidP="00C66E1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queried </w:t>
            </w:r>
            <w:r w:rsidR="00B267C2">
              <w:rPr>
                <w:sz w:val="24"/>
                <w:szCs w:val="24"/>
              </w:rPr>
              <w:t>the availability of</w:t>
            </w:r>
            <w:r w:rsidR="00EC557E">
              <w:rPr>
                <w:sz w:val="24"/>
                <w:szCs w:val="24"/>
              </w:rPr>
              <w:t xml:space="preserve"> </w:t>
            </w:r>
            <w:r w:rsidR="00B267C2">
              <w:rPr>
                <w:sz w:val="24"/>
                <w:szCs w:val="24"/>
              </w:rPr>
              <w:t xml:space="preserve">sector </w:t>
            </w:r>
            <w:r w:rsidR="00EC557E">
              <w:rPr>
                <w:sz w:val="24"/>
                <w:szCs w:val="24"/>
              </w:rPr>
              <w:t xml:space="preserve">research </w:t>
            </w:r>
            <w:r w:rsidR="00B267C2">
              <w:rPr>
                <w:sz w:val="24"/>
                <w:szCs w:val="24"/>
              </w:rPr>
              <w:t xml:space="preserve">on </w:t>
            </w:r>
            <w:r w:rsidR="00EC557E">
              <w:rPr>
                <w:sz w:val="24"/>
                <w:szCs w:val="24"/>
              </w:rPr>
              <w:t xml:space="preserve">approaches </w:t>
            </w:r>
            <w:r>
              <w:rPr>
                <w:sz w:val="24"/>
                <w:szCs w:val="24"/>
              </w:rPr>
              <w:t>to</w:t>
            </w:r>
            <w:r w:rsidR="00EC557E">
              <w:rPr>
                <w:sz w:val="24"/>
                <w:szCs w:val="24"/>
              </w:rPr>
              <w:t xml:space="preserve"> hybrid working </w:t>
            </w:r>
            <w:r>
              <w:rPr>
                <w:sz w:val="24"/>
                <w:szCs w:val="24"/>
              </w:rPr>
              <w:t>and noted that an update on work</w:t>
            </w:r>
            <w:r w:rsidR="007C1BD5">
              <w:rPr>
                <w:sz w:val="24"/>
                <w:szCs w:val="24"/>
              </w:rPr>
              <w:t xml:space="preserve"> being undertaken</w:t>
            </w:r>
            <w:r>
              <w:rPr>
                <w:sz w:val="24"/>
                <w:szCs w:val="24"/>
              </w:rPr>
              <w:t xml:space="preserve"> by the </w:t>
            </w:r>
            <w:r w:rsidR="004C106C">
              <w:rPr>
                <w:sz w:val="24"/>
                <w:szCs w:val="24"/>
              </w:rPr>
              <w:t>North</w:t>
            </w:r>
            <w:r w:rsidR="007C1BD5">
              <w:rPr>
                <w:sz w:val="24"/>
                <w:szCs w:val="24"/>
              </w:rPr>
              <w:t>-</w:t>
            </w:r>
            <w:r w:rsidR="004C106C">
              <w:rPr>
                <w:sz w:val="24"/>
                <w:szCs w:val="24"/>
              </w:rPr>
              <w:t>East</w:t>
            </w:r>
            <w:r w:rsidR="007C1BD5">
              <w:rPr>
                <w:sz w:val="24"/>
                <w:szCs w:val="24"/>
              </w:rPr>
              <w:t xml:space="preserve">ern </w:t>
            </w:r>
            <w:r w:rsidR="00A51372">
              <w:rPr>
                <w:sz w:val="24"/>
                <w:szCs w:val="24"/>
              </w:rPr>
              <w:t xml:space="preserve">HR </w:t>
            </w:r>
            <w:r w:rsidR="007C1BD5">
              <w:rPr>
                <w:sz w:val="24"/>
                <w:szCs w:val="24"/>
              </w:rPr>
              <w:t xml:space="preserve">Directors </w:t>
            </w:r>
            <w:r w:rsidR="00A51372">
              <w:rPr>
                <w:sz w:val="24"/>
                <w:szCs w:val="24"/>
              </w:rPr>
              <w:t>Group</w:t>
            </w:r>
            <w:r w:rsidR="007C1BD5">
              <w:rPr>
                <w:sz w:val="24"/>
                <w:szCs w:val="24"/>
              </w:rPr>
              <w:t>.</w:t>
            </w:r>
          </w:p>
        </w:tc>
      </w:tr>
      <w:tr w:rsidR="00E06958" w:rsidRPr="008A753B" w14:paraId="64E9C64B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B70C475" w14:textId="77777777" w:rsidR="00E06958" w:rsidRDefault="00E06958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47AFF2F3" w14:textId="1CD48F99" w:rsidR="00E07809" w:rsidRDefault="00E06958" w:rsidP="00C66E1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E06958">
              <w:rPr>
                <w:b/>
                <w:bCs/>
                <w:color w:val="000000" w:themeColor="text1"/>
                <w:sz w:val="24"/>
                <w:szCs w:val="24"/>
              </w:rPr>
              <w:t>Action: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4C106C">
              <w:rPr>
                <w:color w:val="000000" w:themeColor="text1"/>
                <w:sz w:val="24"/>
                <w:szCs w:val="24"/>
              </w:rPr>
              <w:t>CPO/PVCWI to</w:t>
            </w:r>
            <w:r w:rsidR="00E07809">
              <w:rPr>
                <w:color w:val="000000" w:themeColor="text1"/>
                <w:sz w:val="24"/>
                <w:szCs w:val="24"/>
              </w:rPr>
              <w:t>:</w:t>
            </w:r>
          </w:p>
          <w:p w14:paraId="302DB79D" w14:textId="5C2AC1C4" w:rsidR="00E06958" w:rsidRPr="007C1BD5" w:rsidRDefault="00E07809" w:rsidP="007C1BD5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E07809">
              <w:rPr>
                <w:color w:val="000000" w:themeColor="text1"/>
                <w:sz w:val="24"/>
                <w:szCs w:val="24"/>
              </w:rPr>
              <w:t>Present the findings of the evaluation of the health kiosk pilot to FEC</w:t>
            </w:r>
            <w:r w:rsidR="007C1BD5">
              <w:rPr>
                <w:color w:val="000000" w:themeColor="text1"/>
                <w:sz w:val="24"/>
                <w:szCs w:val="24"/>
              </w:rPr>
              <w:t xml:space="preserve"> and update the Committee on sector developments. </w:t>
            </w:r>
          </w:p>
        </w:tc>
      </w:tr>
      <w:tr w:rsidR="00EE1730" w:rsidRPr="008A753B" w14:paraId="4BD86323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50AA68E" w14:textId="77777777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bookmarkStart w:id="3" w:name="_Hlk114509121"/>
            <w:bookmarkStart w:id="4" w:name="_Hlk114508928"/>
            <w:bookmarkEnd w:id="2"/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74A46827" w14:textId="09D3F9F1" w:rsidR="00EE1730" w:rsidRPr="00004D0F" w:rsidRDefault="00EE1730" w:rsidP="00EE173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04D0F">
              <w:rPr>
                <w:b/>
                <w:bCs/>
                <w:sz w:val="24"/>
                <w:szCs w:val="24"/>
              </w:rPr>
              <w:t>Diversifying the Associate Professor/Professor Population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23CA6D0" w14:textId="5FD88A8E" w:rsidR="00EE1730" w:rsidRPr="00EE70CB" w:rsidRDefault="00EE1730" w:rsidP="00EE1730">
            <w:pPr>
              <w:pStyle w:val="Heading3"/>
              <w:spacing w:before="60" w:after="60"/>
              <w:ind w:left="-113" w:right="-110"/>
              <w:jc w:val="right"/>
              <w:rPr>
                <w:sz w:val="24"/>
              </w:rPr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5.3</w:t>
            </w:r>
          </w:p>
        </w:tc>
      </w:tr>
      <w:tr w:rsidR="00EE1730" w:rsidRPr="008A753B" w14:paraId="190E1F32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7600CEE" w14:textId="3047266A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C1BD5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0076095E" w14:textId="3A30B8C1" w:rsidR="00692B5E" w:rsidRPr="00B938CF" w:rsidRDefault="00692B5E" w:rsidP="00C66E1B">
            <w:pPr>
              <w:pStyle w:val="TableParagraph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were briefed on the diversity of the </w:t>
            </w:r>
            <w:r w:rsidR="00C66E1B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>P</w:t>
            </w:r>
            <w:r w:rsidRPr="00B938CF">
              <w:rPr>
                <w:sz w:val="24"/>
                <w:szCs w:val="24"/>
              </w:rPr>
              <w:t xml:space="preserve">rofessor and </w:t>
            </w:r>
            <w:r>
              <w:rPr>
                <w:sz w:val="24"/>
                <w:szCs w:val="24"/>
              </w:rPr>
              <w:t>A</w:t>
            </w:r>
            <w:r w:rsidRPr="00B938CF">
              <w:rPr>
                <w:sz w:val="24"/>
                <w:szCs w:val="24"/>
              </w:rPr>
              <w:t xml:space="preserve">ssociate </w:t>
            </w:r>
            <w:r>
              <w:rPr>
                <w:sz w:val="24"/>
                <w:szCs w:val="24"/>
              </w:rPr>
              <w:t>P</w:t>
            </w:r>
            <w:r w:rsidRPr="00B938CF">
              <w:rPr>
                <w:sz w:val="24"/>
                <w:szCs w:val="24"/>
              </w:rPr>
              <w:t xml:space="preserve">rofessor </w:t>
            </w:r>
            <w:r>
              <w:rPr>
                <w:sz w:val="24"/>
                <w:szCs w:val="24"/>
              </w:rPr>
              <w:t>(Prof/</w:t>
            </w:r>
            <w:proofErr w:type="spellStart"/>
            <w:r>
              <w:rPr>
                <w:sz w:val="24"/>
                <w:szCs w:val="24"/>
              </w:rPr>
              <w:t>AProf</w:t>
            </w:r>
            <w:proofErr w:type="spellEnd"/>
            <w:r>
              <w:rPr>
                <w:sz w:val="24"/>
                <w:szCs w:val="24"/>
              </w:rPr>
              <w:t>)</w:t>
            </w:r>
            <w:r w:rsidR="009B4D5B">
              <w:rPr>
                <w:sz w:val="24"/>
                <w:szCs w:val="24"/>
              </w:rPr>
              <w:t xml:space="preserve"> staff groups</w:t>
            </w:r>
            <w:r>
              <w:rPr>
                <w:sz w:val="24"/>
                <w:szCs w:val="24"/>
              </w:rPr>
              <w:t>, t</w:t>
            </w:r>
            <w:r w:rsidRPr="00B938CF">
              <w:rPr>
                <w:sz w:val="24"/>
                <w:szCs w:val="24"/>
              </w:rPr>
              <w:t xml:space="preserve">rends in application and </w:t>
            </w:r>
            <w:r>
              <w:rPr>
                <w:sz w:val="24"/>
                <w:szCs w:val="24"/>
              </w:rPr>
              <w:t xml:space="preserve">progression </w:t>
            </w:r>
            <w:r w:rsidRPr="00B938CF">
              <w:rPr>
                <w:sz w:val="24"/>
                <w:szCs w:val="24"/>
              </w:rPr>
              <w:t xml:space="preserve">success rates </w:t>
            </w:r>
            <w:r>
              <w:rPr>
                <w:sz w:val="24"/>
                <w:szCs w:val="24"/>
              </w:rPr>
              <w:t xml:space="preserve">and </w:t>
            </w:r>
            <w:r w:rsidR="004C106C">
              <w:rPr>
                <w:sz w:val="24"/>
                <w:szCs w:val="24"/>
              </w:rPr>
              <w:t xml:space="preserve">ongoing </w:t>
            </w:r>
            <w:r>
              <w:rPr>
                <w:sz w:val="24"/>
                <w:szCs w:val="24"/>
              </w:rPr>
              <w:t>w</w:t>
            </w:r>
            <w:r w:rsidRPr="00B938CF">
              <w:rPr>
                <w:sz w:val="24"/>
                <w:szCs w:val="24"/>
              </w:rPr>
              <w:t xml:space="preserve">ork </w:t>
            </w:r>
            <w:r w:rsidR="004C106C">
              <w:rPr>
                <w:sz w:val="24"/>
                <w:szCs w:val="24"/>
              </w:rPr>
              <w:t xml:space="preserve">to </w:t>
            </w:r>
            <w:r w:rsidRPr="00B938CF">
              <w:rPr>
                <w:sz w:val="24"/>
                <w:szCs w:val="24"/>
              </w:rPr>
              <w:t>further diversify this population</w:t>
            </w:r>
            <w:r>
              <w:rPr>
                <w:sz w:val="24"/>
                <w:szCs w:val="24"/>
              </w:rPr>
              <w:t xml:space="preserve">, </w:t>
            </w:r>
            <w:r w:rsidR="004C106C">
              <w:rPr>
                <w:sz w:val="24"/>
                <w:szCs w:val="24"/>
              </w:rPr>
              <w:t>particularly</w:t>
            </w:r>
            <w:r>
              <w:rPr>
                <w:sz w:val="24"/>
                <w:szCs w:val="24"/>
              </w:rPr>
              <w:t>:</w:t>
            </w:r>
          </w:p>
          <w:p w14:paraId="51923EE0" w14:textId="77777777" w:rsidR="004C106C" w:rsidRDefault="004C106C" w:rsidP="00C66E1B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C106C">
              <w:rPr>
                <w:sz w:val="24"/>
                <w:szCs w:val="24"/>
              </w:rPr>
              <w:t>he sector issue of a lack of diversity in the Professoriate</w:t>
            </w:r>
            <w:r>
              <w:rPr>
                <w:sz w:val="24"/>
                <w:szCs w:val="24"/>
              </w:rPr>
              <w:t>, noting that the University was</w:t>
            </w:r>
            <w:r w:rsidR="00EC557E" w:rsidRPr="004C106C">
              <w:rPr>
                <w:sz w:val="24"/>
                <w:szCs w:val="24"/>
              </w:rPr>
              <w:t xml:space="preserve"> above </w:t>
            </w:r>
            <w:r>
              <w:rPr>
                <w:sz w:val="24"/>
                <w:szCs w:val="24"/>
              </w:rPr>
              <w:t xml:space="preserve">the </w:t>
            </w:r>
            <w:r w:rsidR="00EC557E" w:rsidRPr="004C106C">
              <w:rPr>
                <w:sz w:val="24"/>
                <w:szCs w:val="24"/>
              </w:rPr>
              <w:t xml:space="preserve">sector average </w:t>
            </w:r>
            <w:r>
              <w:rPr>
                <w:sz w:val="24"/>
                <w:szCs w:val="24"/>
              </w:rPr>
              <w:t>for</w:t>
            </w:r>
            <w:r w:rsidR="00EC557E" w:rsidRPr="004C106C">
              <w:rPr>
                <w:sz w:val="24"/>
                <w:szCs w:val="24"/>
              </w:rPr>
              <w:t xml:space="preserve"> ethnicity, gender and disability</w:t>
            </w:r>
            <w:r>
              <w:rPr>
                <w:sz w:val="24"/>
                <w:szCs w:val="24"/>
              </w:rPr>
              <w:t>;</w:t>
            </w:r>
          </w:p>
          <w:p w14:paraId="11347EA2" w14:textId="3123E241" w:rsidR="00216CD2" w:rsidRDefault="004C106C" w:rsidP="00C66E1B">
            <w:pPr>
              <w:pStyle w:val="ListParagraph"/>
              <w:numPr>
                <w:ilvl w:val="0"/>
                <w:numId w:val="34"/>
              </w:numPr>
              <w:spacing w:before="60" w:after="60"/>
              <w:ind w:left="319" w:hanging="319"/>
              <w:rPr>
                <w:sz w:val="24"/>
                <w:szCs w:val="24"/>
              </w:rPr>
            </w:pPr>
            <w:r w:rsidRPr="00216CD2">
              <w:rPr>
                <w:sz w:val="24"/>
                <w:szCs w:val="24"/>
              </w:rPr>
              <w:t xml:space="preserve">actions taken since 2020 to further improve </w:t>
            </w:r>
            <w:r w:rsidR="00C66E1B">
              <w:rPr>
                <w:sz w:val="24"/>
                <w:szCs w:val="24"/>
              </w:rPr>
              <w:t>the</w:t>
            </w:r>
            <w:r w:rsidRPr="00216CD2">
              <w:rPr>
                <w:sz w:val="24"/>
                <w:szCs w:val="24"/>
              </w:rPr>
              <w:t xml:space="preserve"> position, including </w:t>
            </w:r>
          </w:p>
          <w:p w14:paraId="397C8CB7" w14:textId="496DCFD9" w:rsidR="00216CD2" w:rsidRDefault="004C106C" w:rsidP="00C66E1B">
            <w:pPr>
              <w:pStyle w:val="ListParagraph"/>
              <w:numPr>
                <w:ilvl w:val="1"/>
                <w:numId w:val="37"/>
              </w:numPr>
              <w:spacing w:before="60" w:after="60"/>
              <w:ind w:left="743" w:hanging="425"/>
              <w:rPr>
                <w:sz w:val="24"/>
                <w:szCs w:val="24"/>
              </w:rPr>
            </w:pPr>
            <w:r w:rsidRPr="00216CD2">
              <w:rPr>
                <w:sz w:val="24"/>
                <w:szCs w:val="24"/>
              </w:rPr>
              <w:t xml:space="preserve">increasing the diversity of </w:t>
            </w:r>
            <w:r w:rsidR="00692B5E" w:rsidRPr="00216CD2">
              <w:rPr>
                <w:sz w:val="24"/>
                <w:szCs w:val="24"/>
              </w:rPr>
              <w:t>panels considering applications</w:t>
            </w:r>
            <w:r w:rsidR="00C66E1B" w:rsidRPr="00216CD2">
              <w:rPr>
                <w:sz w:val="24"/>
                <w:szCs w:val="24"/>
              </w:rPr>
              <w:t xml:space="preserve"> </w:t>
            </w:r>
            <w:r w:rsidR="00C66E1B">
              <w:rPr>
                <w:sz w:val="24"/>
                <w:szCs w:val="24"/>
              </w:rPr>
              <w:t xml:space="preserve">and </w:t>
            </w:r>
            <w:r w:rsidR="00C66E1B" w:rsidRPr="00216CD2">
              <w:rPr>
                <w:sz w:val="24"/>
                <w:szCs w:val="24"/>
              </w:rPr>
              <w:t xml:space="preserve">application </w:t>
            </w:r>
            <w:proofErr w:type="gramStart"/>
            <w:r w:rsidR="00C66E1B" w:rsidRPr="00216CD2">
              <w:rPr>
                <w:sz w:val="24"/>
                <w:szCs w:val="24"/>
              </w:rPr>
              <w:t>workshops</w:t>
            </w:r>
            <w:r w:rsidRPr="00216CD2">
              <w:rPr>
                <w:sz w:val="24"/>
                <w:szCs w:val="24"/>
              </w:rPr>
              <w:t>;</w:t>
            </w:r>
            <w:proofErr w:type="gramEnd"/>
            <w:r w:rsidRPr="00216CD2">
              <w:rPr>
                <w:sz w:val="24"/>
                <w:szCs w:val="24"/>
              </w:rPr>
              <w:t xml:space="preserve"> </w:t>
            </w:r>
          </w:p>
          <w:p w14:paraId="040D6CFF" w14:textId="3B219662" w:rsidR="00216CD2" w:rsidRPr="00C66E1B" w:rsidRDefault="00C66E1B" w:rsidP="00C66E1B">
            <w:pPr>
              <w:pStyle w:val="ListParagraph"/>
              <w:numPr>
                <w:ilvl w:val="1"/>
                <w:numId w:val="37"/>
              </w:numPr>
              <w:spacing w:before="60" w:after="60"/>
              <w:ind w:left="74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92B5E" w:rsidRPr="00C66E1B">
              <w:rPr>
                <w:sz w:val="24"/>
                <w:szCs w:val="24"/>
              </w:rPr>
              <w:t>ctively encouraging under-represented groups to participate in the process</w:t>
            </w:r>
            <w:r w:rsidR="00216CD2" w:rsidRPr="00C66E1B">
              <w:rPr>
                <w:sz w:val="24"/>
                <w:szCs w:val="24"/>
              </w:rPr>
              <w:t xml:space="preserve">, </w:t>
            </w:r>
          </w:p>
          <w:p w14:paraId="176255E7" w14:textId="77777777" w:rsidR="00216CD2" w:rsidRDefault="00216CD2" w:rsidP="00C66E1B">
            <w:pPr>
              <w:pStyle w:val="ListParagraph"/>
              <w:numPr>
                <w:ilvl w:val="1"/>
                <w:numId w:val="37"/>
              </w:numPr>
              <w:spacing w:before="60" w:after="60"/>
              <w:ind w:left="743" w:hanging="425"/>
              <w:rPr>
                <w:sz w:val="24"/>
                <w:szCs w:val="24"/>
              </w:rPr>
            </w:pPr>
            <w:r w:rsidRPr="00216CD2">
              <w:rPr>
                <w:sz w:val="24"/>
                <w:szCs w:val="24"/>
              </w:rPr>
              <w:t>r</w:t>
            </w:r>
            <w:r w:rsidR="00692B5E" w:rsidRPr="00216CD2">
              <w:rPr>
                <w:sz w:val="24"/>
                <w:szCs w:val="24"/>
              </w:rPr>
              <w:t xml:space="preserve">e-introducing ‘Hallam Aspire’, a mentoring scheme for </w:t>
            </w:r>
            <w:r w:rsidRPr="00216CD2">
              <w:rPr>
                <w:sz w:val="24"/>
                <w:szCs w:val="24"/>
              </w:rPr>
              <w:t>individuals from</w:t>
            </w:r>
            <w:r w:rsidR="00692B5E" w:rsidRPr="00216CD2">
              <w:rPr>
                <w:sz w:val="24"/>
                <w:szCs w:val="24"/>
              </w:rPr>
              <w:t xml:space="preserve"> under-represented groups with ambitions to progress to Prof/</w:t>
            </w:r>
            <w:proofErr w:type="spellStart"/>
            <w:proofErr w:type="gramStart"/>
            <w:r w:rsidR="00692B5E" w:rsidRPr="00216CD2">
              <w:rPr>
                <w:sz w:val="24"/>
                <w:szCs w:val="24"/>
              </w:rPr>
              <w:t>AP</w:t>
            </w:r>
            <w:r w:rsidRPr="00216CD2">
              <w:rPr>
                <w:sz w:val="24"/>
                <w:szCs w:val="24"/>
              </w:rPr>
              <w:t>rof</w:t>
            </w:r>
            <w:proofErr w:type="spellEnd"/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1857902" w14:textId="647D238C" w:rsidR="00692B5E" w:rsidRDefault="00216CD2" w:rsidP="00C66E1B">
            <w:pPr>
              <w:pStyle w:val="ListParagraph"/>
              <w:numPr>
                <w:ilvl w:val="1"/>
                <w:numId w:val="37"/>
              </w:numPr>
              <w:spacing w:before="60" w:after="60"/>
              <w:ind w:left="74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  <w:r w:rsidRPr="00216CD2">
              <w:rPr>
                <w:sz w:val="24"/>
                <w:szCs w:val="24"/>
              </w:rPr>
              <w:t xml:space="preserve"> </w:t>
            </w:r>
            <w:r w:rsidR="00692B5E" w:rsidRPr="00216CD2">
              <w:rPr>
                <w:sz w:val="24"/>
                <w:szCs w:val="24"/>
              </w:rPr>
              <w:t>showcasing successful Profs/</w:t>
            </w:r>
            <w:proofErr w:type="spellStart"/>
            <w:r w:rsidR="00692B5E" w:rsidRPr="00216CD2">
              <w:rPr>
                <w:sz w:val="24"/>
                <w:szCs w:val="24"/>
              </w:rPr>
              <w:t>AP</w:t>
            </w:r>
            <w:r w:rsidR="00C66E1B">
              <w:rPr>
                <w:sz w:val="24"/>
                <w:szCs w:val="24"/>
              </w:rPr>
              <w:t>rof</w:t>
            </w:r>
            <w:r w:rsidR="00692B5E" w:rsidRPr="00216CD2">
              <w:rPr>
                <w:sz w:val="24"/>
                <w:szCs w:val="24"/>
              </w:rPr>
              <w:t>s</w:t>
            </w:r>
            <w:proofErr w:type="spellEnd"/>
            <w:r w:rsidR="00692B5E" w:rsidRPr="00216CD2">
              <w:rPr>
                <w:sz w:val="24"/>
                <w:szCs w:val="24"/>
              </w:rPr>
              <w:t xml:space="preserve"> from a diverse range of </w:t>
            </w:r>
            <w:proofErr w:type="gramStart"/>
            <w:r w:rsidR="00692B5E" w:rsidRPr="00216CD2">
              <w:rPr>
                <w:sz w:val="24"/>
                <w:szCs w:val="24"/>
              </w:rPr>
              <w:t>backgrounds</w:t>
            </w:r>
            <w:r w:rsidRPr="00216CD2">
              <w:rPr>
                <w:sz w:val="24"/>
                <w:szCs w:val="24"/>
              </w:rPr>
              <w:t>;</w:t>
            </w:r>
            <w:proofErr w:type="gramEnd"/>
          </w:p>
          <w:p w14:paraId="67FD7641" w14:textId="3B806093" w:rsidR="00216CD2" w:rsidRDefault="00216CD2" w:rsidP="00C66E1B">
            <w:pPr>
              <w:pStyle w:val="ListParagraph"/>
              <w:numPr>
                <w:ilvl w:val="0"/>
                <w:numId w:val="34"/>
              </w:numPr>
              <w:spacing w:before="60" w:after="60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overall outcomes </w:t>
            </w:r>
            <w:r w:rsidR="00C66E1B">
              <w:rPr>
                <w:sz w:val="24"/>
                <w:szCs w:val="24"/>
              </w:rPr>
              <w:t>which demonstrated</w:t>
            </w:r>
            <w:r>
              <w:rPr>
                <w:sz w:val="24"/>
                <w:szCs w:val="24"/>
              </w:rPr>
              <w:t xml:space="preserve"> a steady improvement in the diver</w:t>
            </w:r>
            <w:r w:rsidR="007A20BE">
              <w:rPr>
                <w:sz w:val="24"/>
                <w:szCs w:val="24"/>
              </w:rPr>
              <w:t>sity</w:t>
            </w:r>
            <w:r>
              <w:rPr>
                <w:sz w:val="24"/>
                <w:szCs w:val="24"/>
              </w:rPr>
              <w:t xml:space="preserve"> of the Professoriate </w:t>
            </w:r>
            <w:proofErr w:type="gramStart"/>
            <w:r>
              <w:rPr>
                <w:sz w:val="24"/>
                <w:szCs w:val="24"/>
              </w:rPr>
              <w:t>population;</w:t>
            </w:r>
            <w:proofErr w:type="gramEnd"/>
          </w:p>
          <w:p w14:paraId="252C8191" w14:textId="77777777" w:rsidR="00C66E1B" w:rsidRDefault="00C66E1B" w:rsidP="00C66E1B">
            <w:pPr>
              <w:pStyle w:val="ListParagraph"/>
              <w:numPr>
                <w:ilvl w:val="0"/>
                <w:numId w:val="34"/>
              </w:numPr>
              <w:spacing w:before="60" w:after="60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lack of P</w:t>
            </w:r>
            <w:r w:rsidRPr="00B96E81">
              <w:rPr>
                <w:sz w:val="24"/>
                <w:szCs w:val="24"/>
              </w:rPr>
              <w:t>rofs/</w:t>
            </w:r>
            <w:proofErr w:type="spellStart"/>
            <w:r w:rsidRPr="00B96E81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rofs</w:t>
            </w:r>
            <w:proofErr w:type="spellEnd"/>
            <w:r w:rsidRPr="00B96E81">
              <w:rPr>
                <w:sz w:val="24"/>
                <w:szCs w:val="24"/>
              </w:rPr>
              <w:t xml:space="preserve"> from a black background</w:t>
            </w:r>
            <w:r>
              <w:rPr>
                <w:sz w:val="24"/>
                <w:szCs w:val="24"/>
              </w:rPr>
              <w:t xml:space="preserve">; and </w:t>
            </w:r>
          </w:p>
          <w:p w14:paraId="0DBE2F3B" w14:textId="2AC02DE0" w:rsidR="007A20BE" w:rsidRPr="00C66E1B" w:rsidRDefault="00216CD2" w:rsidP="00C66E1B">
            <w:pPr>
              <w:pStyle w:val="ListParagraph"/>
              <w:numPr>
                <w:ilvl w:val="0"/>
                <w:numId w:val="34"/>
              </w:numPr>
              <w:spacing w:before="60" w:after="60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increasing application success rates for the two groups most under</w:t>
            </w:r>
            <w:r w:rsidRPr="00B96E81">
              <w:rPr>
                <w:sz w:val="24"/>
                <w:szCs w:val="24"/>
              </w:rPr>
              <w:t xml:space="preserve">-represented at </w:t>
            </w:r>
            <w:r>
              <w:rPr>
                <w:sz w:val="24"/>
                <w:szCs w:val="24"/>
              </w:rPr>
              <w:t>P</w:t>
            </w:r>
            <w:r w:rsidRPr="00B96E81">
              <w:rPr>
                <w:sz w:val="24"/>
                <w:szCs w:val="24"/>
              </w:rPr>
              <w:t>rof/</w:t>
            </w:r>
            <w:proofErr w:type="spellStart"/>
            <w:r w:rsidRPr="00B96E81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rof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96E81">
              <w:rPr>
                <w:sz w:val="24"/>
                <w:szCs w:val="24"/>
              </w:rPr>
              <w:t>level (women and ethnic minority colleagues)</w:t>
            </w:r>
            <w:r w:rsidR="00C66E1B">
              <w:rPr>
                <w:sz w:val="24"/>
                <w:szCs w:val="24"/>
              </w:rPr>
              <w:t>.</w:t>
            </w:r>
          </w:p>
          <w:p w14:paraId="4BCED60B" w14:textId="1582D9EE" w:rsidR="009D43F4" w:rsidRDefault="007A20BE" w:rsidP="00C66E1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="00C66E1B">
              <w:rPr>
                <w:sz w:val="24"/>
                <w:szCs w:val="24"/>
              </w:rPr>
              <w:t>welcomed the</w:t>
            </w:r>
            <w:r>
              <w:rPr>
                <w:sz w:val="24"/>
                <w:szCs w:val="24"/>
              </w:rPr>
              <w:t xml:space="preserve"> approach to</w:t>
            </w:r>
            <w:r w:rsidR="00C66E1B">
              <w:rPr>
                <w:sz w:val="24"/>
                <w:szCs w:val="24"/>
              </w:rPr>
              <w:t xml:space="preserve"> consider outcomes broken down by </w:t>
            </w:r>
            <w:r>
              <w:rPr>
                <w:sz w:val="24"/>
                <w:szCs w:val="24"/>
              </w:rPr>
              <w:t>di</w:t>
            </w:r>
            <w:r w:rsidR="00CE416E">
              <w:rPr>
                <w:sz w:val="24"/>
                <w:szCs w:val="24"/>
              </w:rPr>
              <w:t>fferent ethnic minority background</w:t>
            </w:r>
            <w:r>
              <w:rPr>
                <w:sz w:val="24"/>
                <w:szCs w:val="24"/>
              </w:rPr>
              <w:t>s</w:t>
            </w:r>
            <w:r w:rsidR="00CE416E">
              <w:rPr>
                <w:sz w:val="24"/>
                <w:szCs w:val="24"/>
              </w:rPr>
              <w:t xml:space="preserve"> rather than </w:t>
            </w:r>
            <w:proofErr w:type="gramStart"/>
            <w:r w:rsidR="00CE416E">
              <w:rPr>
                <w:sz w:val="24"/>
                <w:szCs w:val="24"/>
              </w:rPr>
              <w:t>ethnicity as a whole</w:t>
            </w:r>
            <w:proofErr w:type="gramEnd"/>
            <w:r w:rsidR="009D43F4">
              <w:rPr>
                <w:sz w:val="24"/>
                <w:szCs w:val="24"/>
              </w:rPr>
              <w:t>. It was noted that sector benchmarking data would be helpful in future reports of this nature.</w:t>
            </w:r>
          </w:p>
          <w:p w14:paraId="4ADCF0C9" w14:textId="75B40877" w:rsidR="00C66E1B" w:rsidRPr="00EC557E" w:rsidRDefault="009D43F4" w:rsidP="009D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relation to sector-wide initiatives, the CPO/PVCDI noted the</w:t>
            </w:r>
            <w:r w:rsidR="00C66E1B">
              <w:rPr>
                <w:sz w:val="24"/>
                <w:szCs w:val="24"/>
              </w:rPr>
              <w:t xml:space="preserve"> contribution of </w:t>
            </w:r>
            <w:proofErr w:type="spellStart"/>
            <w:r w:rsidR="00C66E1B">
              <w:rPr>
                <w:sz w:val="24"/>
                <w:szCs w:val="24"/>
              </w:rPr>
              <w:t>StellarHE</w:t>
            </w:r>
            <w:proofErr w:type="spellEnd"/>
            <w:r w:rsidR="00C66E1B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address</w:t>
            </w:r>
            <w:r w:rsidR="00C66E1B">
              <w:rPr>
                <w:sz w:val="24"/>
                <w:szCs w:val="24"/>
              </w:rPr>
              <w:t xml:space="preserve"> the future pipeline of talent by offering a programme designed for </w:t>
            </w:r>
            <w:r w:rsidRPr="009D43F4">
              <w:rPr>
                <w:sz w:val="24"/>
                <w:szCs w:val="24"/>
              </w:rPr>
              <w:t>eth</w:t>
            </w:r>
            <w:r>
              <w:rPr>
                <w:sz w:val="24"/>
                <w:szCs w:val="24"/>
              </w:rPr>
              <w:t>n</w:t>
            </w:r>
            <w:r w:rsidRPr="009D43F4">
              <w:rPr>
                <w:sz w:val="24"/>
                <w:szCs w:val="24"/>
              </w:rPr>
              <w:t>ically diverse individuals who aspired to senior leadership positions in HE.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6B49" w:rsidRPr="008A753B" w14:paraId="5C65BD54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6911A04" w14:textId="77777777" w:rsidR="00136B49" w:rsidRDefault="00136B49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479FE6CA" w14:textId="5876A6B9" w:rsidR="00136B49" w:rsidRPr="00EC557E" w:rsidRDefault="00136B49" w:rsidP="00EE1730">
            <w:pPr>
              <w:spacing w:before="60" w:after="60"/>
              <w:rPr>
                <w:sz w:val="24"/>
                <w:szCs w:val="24"/>
              </w:rPr>
            </w:pPr>
            <w:r w:rsidRPr="00E43B28">
              <w:rPr>
                <w:b/>
                <w:bCs/>
                <w:sz w:val="24"/>
                <w:szCs w:val="24"/>
              </w:rPr>
              <w:t xml:space="preserve">Action: </w:t>
            </w:r>
            <w:r w:rsidR="005B18E3" w:rsidRPr="005B18E3">
              <w:rPr>
                <w:sz w:val="24"/>
                <w:szCs w:val="24"/>
              </w:rPr>
              <w:t>CPO/PVCDI to</w:t>
            </w:r>
            <w:r w:rsidRPr="005B18E3">
              <w:rPr>
                <w:sz w:val="24"/>
                <w:szCs w:val="24"/>
              </w:rPr>
              <w:t xml:space="preserve"> </w:t>
            </w:r>
            <w:r w:rsidR="005B18E3" w:rsidRPr="005B18E3">
              <w:rPr>
                <w:sz w:val="24"/>
                <w:szCs w:val="24"/>
              </w:rPr>
              <w:t>present the University’s</w:t>
            </w:r>
            <w:r w:rsidRPr="005B18E3">
              <w:rPr>
                <w:sz w:val="24"/>
                <w:szCs w:val="24"/>
              </w:rPr>
              <w:t xml:space="preserve"> academic career framework </w:t>
            </w:r>
            <w:r w:rsidR="005B18E3" w:rsidRPr="005B18E3">
              <w:rPr>
                <w:sz w:val="24"/>
                <w:szCs w:val="24"/>
              </w:rPr>
              <w:t>at a</w:t>
            </w:r>
            <w:r w:rsidRPr="005B18E3">
              <w:rPr>
                <w:sz w:val="24"/>
                <w:szCs w:val="24"/>
              </w:rPr>
              <w:t xml:space="preserve"> future</w:t>
            </w:r>
            <w:r w:rsidR="005B18E3" w:rsidRPr="005B18E3">
              <w:rPr>
                <w:sz w:val="24"/>
                <w:szCs w:val="24"/>
              </w:rPr>
              <w:t xml:space="preserve"> meeting</w:t>
            </w:r>
            <w:r w:rsidRPr="005B18E3">
              <w:rPr>
                <w:sz w:val="24"/>
                <w:szCs w:val="24"/>
              </w:rPr>
              <w:t xml:space="preserve"> or separate briefing session.</w:t>
            </w:r>
          </w:p>
        </w:tc>
      </w:tr>
      <w:tr w:rsidR="00EE1730" w:rsidRPr="008A753B" w14:paraId="41D978A2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35529DC" w14:textId="77777777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4533909F" w14:textId="127F2437" w:rsidR="00EE1730" w:rsidRPr="00EE70CB" w:rsidRDefault="00EE1730" w:rsidP="00EE1730">
            <w:pPr>
              <w:spacing w:before="60" w:after="60"/>
              <w:rPr>
                <w:sz w:val="24"/>
                <w:szCs w:val="24"/>
              </w:rPr>
            </w:pPr>
            <w:r w:rsidRPr="00004D0F">
              <w:rPr>
                <w:b/>
                <w:bCs/>
                <w:sz w:val="24"/>
                <w:szCs w:val="24"/>
              </w:rPr>
              <w:t>People Development Offer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6400A56" w14:textId="1CE217AD" w:rsidR="00EE1730" w:rsidRPr="00EE70CB" w:rsidRDefault="00EE1730" w:rsidP="00EE1730">
            <w:pPr>
              <w:pStyle w:val="Heading3"/>
              <w:spacing w:before="60" w:after="60"/>
              <w:ind w:left="-113" w:right="-110"/>
              <w:jc w:val="right"/>
              <w:rPr>
                <w:sz w:val="24"/>
              </w:rPr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5.4</w:t>
            </w:r>
          </w:p>
        </w:tc>
      </w:tr>
      <w:tr w:rsidR="00EE1730" w:rsidRPr="008A753B" w14:paraId="30AA5428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EF5AE33" w14:textId="7DE511F6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C1BD5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63BD19BB" w14:textId="7CB5FB8C" w:rsidR="005B18E3" w:rsidRDefault="007A20BE" w:rsidP="007A20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Director of HROD </w:t>
            </w:r>
            <w:r w:rsidR="009D43F4">
              <w:rPr>
                <w:sz w:val="24"/>
                <w:szCs w:val="24"/>
              </w:rPr>
              <w:t>presented</w:t>
            </w:r>
            <w:r>
              <w:rPr>
                <w:sz w:val="24"/>
                <w:szCs w:val="24"/>
              </w:rPr>
              <w:t xml:space="preserve"> the </w:t>
            </w:r>
            <w:r w:rsidR="00136B49">
              <w:rPr>
                <w:sz w:val="24"/>
                <w:szCs w:val="24"/>
              </w:rPr>
              <w:t xml:space="preserve">highlights of </w:t>
            </w:r>
            <w:r>
              <w:rPr>
                <w:sz w:val="24"/>
                <w:szCs w:val="24"/>
              </w:rPr>
              <w:t>the Service’</w:t>
            </w:r>
            <w:r w:rsidR="005B18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people development</w:t>
            </w:r>
            <w:r w:rsidR="00136B49">
              <w:rPr>
                <w:sz w:val="24"/>
                <w:szCs w:val="24"/>
              </w:rPr>
              <w:t xml:space="preserve"> offer</w:t>
            </w:r>
            <w:r w:rsidR="005B18E3">
              <w:rPr>
                <w:sz w:val="24"/>
                <w:szCs w:val="24"/>
              </w:rPr>
              <w:t xml:space="preserve">, key focus areas of which </w:t>
            </w:r>
            <w:r w:rsidR="009D43F4">
              <w:rPr>
                <w:sz w:val="24"/>
                <w:szCs w:val="24"/>
              </w:rPr>
              <w:t>were</w:t>
            </w:r>
            <w:r w:rsidR="00136B49">
              <w:rPr>
                <w:sz w:val="24"/>
                <w:szCs w:val="24"/>
              </w:rPr>
              <w:t xml:space="preserve"> </w:t>
            </w:r>
            <w:r w:rsidR="00261FE3">
              <w:rPr>
                <w:sz w:val="24"/>
                <w:szCs w:val="24"/>
              </w:rPr>
              <w:t xml:space="preserve">leadership and management </w:t>
            </w:r>
            <w:r w:rsidR="00136B49">
              <w:rPr>
                <w:sz w:val="24"/>
                <w:szCs w:val="24"/>
              </w:rPr>
              <w:t xml:space="preserve">development and </w:t>
            </w:r>
            <w:r w:rsidR="00261FE3">
              <w:rPr>
                <w:sz w:val="24"/>
                <w:szCs w:val="24"/>
              </w:rPr>
              <w:t xml:space="preserve">its </w:t>
            </w:r>
            <w:r w:rsidR="009D43F4">
              <w:rPr>
                <w:sz w:val="24"/>
                <w:szCs w:val="24"/>
              </w:rPr>
              <w:t>I</w:t>
            </w:r>
            <w:r w:rsidR="00261FE3">
              <w:rPr>
                <w:sz w:val="24"/>
                <w:szCs w:val="24"/>
              </w:rPr>
              <w:t>nclusive Hallam work</w:t>
            </w:r>
            <w:r w:rsidR="00455BAF">
              <w:rPr>
                <w:sz w:val="24"/>
                <w:szCs w:val="24"/>
              </w:rPr>
              <w:t>.</w:t>
            </w:r>
          </w:p>
          <w:p w14:paraId="7AC0D801" w14:textId="65FA9881" w:rsidR="005B18E3" w:rsidRDefault="00455BAF" w:rsidP="00455BA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noted the key programmes </w:t>
            </w:r>
            <w:r w:rsidR="00CA3BD5">
              <w:rPr>
                <w:sz w:val="24"/>
                <w:szCs w:val="24"/>
              </w:rPr>
              <w:t>as follows</w:t>
            </w:r>
            <w:r>
              <w:rPr>
                <w:sz w:val="24"/>
                <w:szCs w:val="24"/>
              </w:rPr>
              <w:t>:</w:t>
            </w:r>
          </w:p>
          <w:p w14:paraId="790C1AF8" w14:textId="46778665" w:rsidR="00136B49" w:rsidRPr="00455BAF" w:rsidRDefault="00455BAF" w:rsidP="00455BA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455BAF">
              <w:rPr>
                <w:color w:val="000000" w:themeColor="text1"/>
                <w:sz w:val="24"/>
                <w:szCs w:val="24"/>
                <w:lang w:val="en-US"/>
              </w:rPr>
              <w:t xml:space="preserve">he Senior Leadership Development </w:t>
            </w:r>
            <w:proofErr w:type="spellStart"/>
            <w:r w:rsidRPr="00455BAF">
              <w:rPr>
                <w:color w:val="000000" w:themeColor="text1"/>
                <w:sz w:val="24"/>
                <w:szCs w:val="24"/>
                <w:lang w:val="en-US"/>
              </w:rPr>
              <w:t>Programme</w:t>
            </w:r>
            <w:proofErr w:type="spellEnd"/>
            <w:r w:rsidRPr="00455BAF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5B18E3" w:rsidRPr="00455BAF">
              <w:rPr>
                <w:color w:val="000000" w:themeColor="text1"/>
                <w:sz w:val="24"/>
                <w:szCs w:val="24"/>
                <w:lang w:val="en-US"/>
              </w:rPr>
              <w:t>SLDP</w:t>
            </w:r>
            <w:r w:rsidRPr="00455BAF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5B18E3" w:rsidRPr="00455BAF">
              <w:rPr>
                <w:color w:val="000000" w:themeColor="text1"/>
                <w:sz w:val="24"/>
                <w:szCs w:val="24"/>
                <w:lang w:val="en-US"/>
              </w:rPr>
              <w:t xml:space="preserve"> designed for the Senior Leaders Group (SLG</w:t>
            </w:r>
            <w:r w:rsidRPr="00455BAF">
              <w:rPr>
                <w:color w:val="000000" w:themeColor="text1"/>
                <w:sz w:val="24"/>
                <w:szCs w:val="24"/>
                <w:lang w:val="en-US"/>
              </w:rPr>
              <w:t>) to</w:t>
            </w:r>
            <w:r w:rsidR="005B18E3" w:rsidRPr="00455BAF">
              <w:rPr>
                <w:color w:val="000000" w:themeColor="text1"/>
                <w:sz w:val="24"/>
                <w:szCs w:val="24"/>
                <w:lang w:val="en-US"/>
              </w:rPr>
              <w:t xml:space="preserve"> support a stronger leadership </w:t>
            </w:r>
            <w:proofErr w:type="gramStart"/>
            <w:r w:rsidR="005B18E3" w:rsidRPr="00455BAF">
              <w:rPr>
                <w:color w:val="000000" w:themeColor="text1"/>
                <w:sz w:val="24"/>
                <w:szCs w:val="24"/>
                <w:lang w:val="en-US"/>
              </w:rPr>
              <w:t>culture</w:t>
            </w:r>
            <w:r w:rsidRPr="00455BAF">
              <w:rPr>
                <w:color w:val="000000" w:themeColor="text1"/>
                <w:sz w:val="24"/>
                <w:szCs w:val="24"/>
                <w:lang w:val="en-US"/>
              </w:rPr>
              <w:t>;</w:t>
            </w:r>
            <w:proofErr w:type="gramEnd"/>
          </w:p>
          <w:p w14:paraId="23CF470E" w14:textId="1B09A165" w:rsidR="00455BAF" w:rsidRPr="00455BAF" w:rsidRDefault="00455BAF" w:rsidP="00455BAF">
            <w:pPr>
              <w:pStyle w:val="ListParagraph"/>
              <w:numPr>
                <w:ilvl w:val="0"/>
                <w:numId w:val="39"/>
              </w:numPr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455BAF">
              <w:rPr>
                <w:bCs/>
                <w:sz w:val="24"/>
                <w:szCs w:val="24"/>
              </w:rPr>
              <w:t>Leadership and Management Essentials (LME)</w:t>
            </w:r>
            <w:r w:rsidRPr="00455BAF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3BD5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established </w:t>
            </w:r>
            <w:r w:rsidRPr="00455BAF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to provide line managers with the essential skills, tools and techniques for leading and managing successful </w:t>
            </w:r>
            <w:proofErr w:type="gramStart"/>
            <w:r w:rsidRPr="00455BAF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teams</w:t>
            </w:r>
            <w:r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;</w:t>
            </w:r>
            <w:proofErr w:type="gramEnd"/>
          </w:p>
          <w:p w14:paraId="6F4ADD8C" w14:textId="0748816E" w:rsidR="00CA3BD5" w:rsidRPr="00CA3BD5" w:rsidRDefault="00455BAF" w:rsidP="00455BAF">
            <w:pPr>
              <w:pStyle w:val="ListParagraph"/>
              <w:numPr>
                <w:ilvl w:val="0"/>
                <w:numId w:val="39"/>
              </w:numPr>
            </w:pPr>
            <w:r>
              <w:rPr>
                <w:sz w:val="24"/>
                <w:szCs w:val="24"/>
              </w:rPr>
              <w:t>t</w:t>
            </w:r>
            <w:r w:rsidRPr="00455BAF">
              <w:rPr>
                <w:sz w:val="24"/>
                <w:szCs w:val="24"/>
              </w:rPr>
              <w:t>he Aurora Leadership Programme which aim</w:t>
            </w:r>
            <w:r w:rsidR="00CA3BD5">
              <w:rPr>
                <w:sz w:val="24"/>
                <w:szCs w:val="24"/>
              </w:rPr>
              <w:t xml:space="preserve">ed to encourage </w:t>
            </w:r>
            <w:proofErr w:type="gramStart"/>
            <w:r w:rsidR="00CA3BD5">
              <w:rPr>
                <w:sz w:val="24"/>
                <w:szCs w:val="24"/>
              </w:rPr>
              <w:t>progression</w:t>
            </w:r>
            <w:proofErr w:type="gramEnd"/>
          </w:p>
          <w:p w14:paraId="7212133F" w14:textId="77777777" w:rsidR="00D52F01" w:rsidRDefault="00455BAF" w:rsidP="00D52F01">
            <w:pPr>
              <w:pStyle w:val="ListParagraph"/>
              <w:ind w:left="360"/>
              <w:rPr>
                <w:sz w:val="24"/>
                <w:szCs w:val="24"/>
              </w:rPr>
            </w:pPr>
            <w:r w:rsidRPr="00455BAF">
              <w:rPr>
                <w:sz w:val="24"/>
                <w:szCs w:val="24"/>
              </w:rPr>
              <w:t>opportunities to any individual who self-identifie</w:t>
            </w:r>
            <w:r w:rsidR="00CA3BD5">
              <w:rPr>
                <w:sz w:val="24"/>
                <w:szCs w:val="24"/>
              </w:rPr>
              <w:t>d</w:t>
            </w:r>
            <w:r w:rsidRPr="00455BAF">
              <w:rPr>
                <w:sz w:val="24"/>
                <w:szCs w:val="24"/>
              </w:rPr>
              <w:t xml:space="preserve"> as </w:t>
            </w:r>
            <w:proofErr w:type="gramStart"/>
            <w:r w:rsidRPr="00455BAF">
              <w:rPr>
                <w:sz w:val="24"/>
                <w:szCs w:val="24"/>
              </w:rPr>
              <w:t>female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32C28DFB" w14:textId="2D781032" w:rsidR="00455BAF" w:rsidRPr="00D52F01" w:rsidRDefault="00455BAF" w:rsidP="00D52F0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52F01">
              <w:rPr>
                <w:sz w:val="24"/>
                <w:szCs w:val="24"/>
              </w:rPr>
              <w:t xml:space="preserve">Leading into </w:t>
            </w:r>
            <w:r w:rsidR="00261FE3" w:rsidRPr="00D52F01">
              <w:rPr>
                <w:sz w:val="24"/>
                <w:szCs w:val="24"/>
              </w:rPr>
              <w:t>t</w:t>
            </w:r>
            <w:r w:rsidRPr="00D52F01">
              <w:rPr>
                <w:sz w:val="24"/>
                <w:szCs w:val="24"/>
              </w:rPr>
              <w:t>he Future</w:t>
            </w:r>
            <w:r w:rsidR="00261FE3" w:rsidRPr="00D52F01">
              <w:rPr>
                <w:sz w:val="24"/>
                <w:szCs w:val="24"/>
              </w:rPr>
              <w:t xml:space="preserve"> (LITF)</w:t>
            </w:r>
            <w:r w:rsidRPr="00D52F01">
              <w:rPr>
                <w:sz w:val="24"/>
                <w:szCs w:val="24"/>
              </w:rPr>
              <w:t xml:space="preserve"> – an in-house leadership programme for aspiring leaders </w:t>
            </w:r>
            <w:r w:rsidR="00D52F01" w:rsidRPr="00D52F01">
              <w:rPr>
                <w:sz w:val="24"/>
                <w:szCs w:val="24"/>
              </w:rPr>
              <w:t>who identify with any of the protected characteristics</w:t>
            </w:r>
            <w:r w:rsidRPr="00D52F01">
              <w:rPr>
                <w:sz w:val="24"/>
                <w:szCs w:val="24"/>
              </w:rPr>
              <w:t>;</w:t>
            </w:r>
            <w:r w:rsidR="00261FE3" w:rsidRPr="00D52F01">
              <w:rPr>
                <w:sz w:val="24"/>
                <w:szCs w:val="24"/>
              </w:rPr>
              <w:t xml:space="preserve"> and</w:t>
            </w:r>
          </w:p>
          <w:p w14:paraId="4228C214" w14:textId="2604D6D4" w:rsidR="00136B49" w:rsidRPr="00261FE3" w:rsidRDefault="00261FE3" w:rsidP="00CA3BD5">
            <w:pPr>
              <w:pStyle w:val="ListParagraph"/>
              <w:numPr>
                <w:ilvl w:val="0"/>
                <w:numId w:val="39"/>
              </w:numPr>
              <w:spacing w:after="60"/>
              <w:ind w:left="357" w:hanging="35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61FE3">
              <w:rPr>
                <w:sz w:val="24"/>
                <w:szCs w:val="24"/>
              </w:rPr>
              <w:t>the</w:t>
            </w:r>
            <w:proofErr w:type="spellEnd"/>
            <w:r w:rsidRPr="00261FE3">
              <w:rPr>
                <w:sz w:val="24"/>
                <w:szCs w:val="24"/>
              </w:rPr>
              <w:t xml:space="preserve"> Protect and Respect programme; </w:t>
            </w:r>
            <w:r w:rsidR="00CA3BD5">
              <w:rPr>
                <w:sz w:val="24"/>
                <w:szCs w:val="24"/>
              </w:rPr>
              <w:t xml:space="preserve">noted that </w:t>
            </w:r>
            <w:r w:rsidRPr="00261FE3">
              <w:rPr>
                <w:sz w:val="24"/>
                <w:szCs w:val="24"/>
              </w:rPr>
              <w:t>over 1000 staff had engaged with the first phase of the programme</w:t>
            </w:r>
            <w:r w:rsidR="00CA3BD5">
              <w:rPr>
                <w:sz w:val="24"/>
                <w:szCs w:val="24"/>
              </w:rPr>
              <w:t xml:space="preserve"> and that t</w:t>
            </w:r>
            <w:r w:rsidRPr="00261FE3">
              <w:rPr>
                <w:sz w:val="24"/>
                <w:szCs w:val="24"/>
              </w:rPr>
              <w:t>he</w:t>
            </w:r>
            <w:r w:rsidRPr="00261F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second phase of Protect and Respect </w:t>
            </w: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>(l</w:t>
            </w:r>
            <w:r w:rsidRPr="00261F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aunched in February 2023</w:t>
            </w: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) </w:t>
            </w:r>
            <w:r w:rsidRPr="00261F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would look at key subject areas in more detail</w:t>
            </w: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. The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>programme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would be</w:t>
            </w:r>
            <w:r w:rsidRPr="00261F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the main route </w:t>
            </w: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>to deliver</w:t>
            </w:r>
            <w:r w:rsidRPr="00261F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staff training </w:t>
            </w: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>t</w:t>
            </w:r>
            <w:r w:rsidR="00455BAF" w:rsidRPr="00261FE3">
              <w:rPr>
                <w:color w:val="000000" w:themeColor="text1"/>
                <w:sz w:val="24"/>
                <w:szCs w:val="24"/>
              </w:rPr>
              <w:t xml:space="preserve">o support </w:t>
            </w:r>
            <w:r w:rsidR="00455BAF" w:rsidRPr="00261FE3">
              <w:rPr>
                <w:color w:val="000000" w:themeColor="text1"/>
                <w:sz w:val="24"/>
                <w:szCs w:val="24"/>
              </w:rPr>
              <w:lastRenderedPageBreak/>
              <w:t>the requirements of the Office for Students</w:t>
            </w:r>
            <w:r>
              <w:rPr>
                <w:color w:val="000000" w:themeColor="text1"/>
                <w:sz w:val="24"/>
                <w:szCs w:val="24"/>
              </w:rPr>
              <w:t xml:space="preserve"> (OfS)</w:t>
            </w:r>
            <w:r w:rsidR="00455BAF" w:rsidRPr="00261FE3">
              <w:rPr>
                <w:color w:val="000000" w:themeColor="text1"/>
                <w:sz w:val="24"/>
                <w:szCs w:val="24"/>
              </w:rPr>
              <w:t xml:space="preserve"> in relation to Harassment, Sexual Misconduct and Hate Crime.</w:t>
            </w:r>
          </w:p>
        </w:tc>
      </w:tr>
      <w:tr w:rsidR="00261FE3" w:rsidRPr="008A753B" w14:paraId="5A3D89E0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2A17522" w14:textId="27D41B57" w:rsidR="00261FE3" w:rsidRDefault="00261FE3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7C1BD5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77177702" w14:textId="374B213A" w:rsidR="00261FE3" w:rsidRDefault="00261FE3" w:rsidP="00261FE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queried participation rates </w:t>
            </w:r>
            <w:r w:rsidR="00CA3BD5">
              <w:rPr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 xml:space="preserve"> Professional Services and </w:t>
            </w:r>
            <w:r w:rsidR="00371B3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cademic staff. The generally higher take up by Professional Services was noted, however, cohorts for the Aurora, LITF and </w:t>
            </w:r>
            <w:r w:rsidR="00D52F01">
              <w:rPr>
                <w:sz w:val="24"/>
                <w:szCs w:val="24"/>
              </w:rPr>
              <w:t>LME</w:t>
            </w:r>
            <w:r>
              <w:rPr>
                <w:sz w:val="24"/>
                <w:szCs w:val="24"/>
              </w:rPr>
              <w:t xml:space="preserve"> programme</w:t>
            </w:r>
            <w:r w:rsidR="00D52F0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were selected on an expression of interest basis to ensure an appropriate balance of participants. </w:t>
            </w:r>
          </w:p>
        </w:tc>
      </w:tr>
      <w:tr w:rsidR="007C1BD5" w:rsidRPr="008A753B" w14:paraId="6BD68C07" w14:textId="77777777" w:rsidTr="00395C89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9AC6D1E" w14:textId="496BB57F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26E2F4D0" w14:textId="64F76341" w:rsidR="007C1BD5" w:rsidRDefault="00F774B9" w:rsidP="00261FE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EE1730" w:rsidRPr="008A753B" w14:paraId="41DF3C07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7F83A" w14:textId="784EAF11" w:rsidR="00EE1730" w:rsidRPr="00A85DEC" w:rsidRDefault="00EE1730" w:rsidP="00EE1730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</w:t>
            </w:r>
            <w:r w:rsidR="003372E6">
              <w:t>2023-03-01</w:t>
            </w:r>
            <w:r>
              <w:t>/6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7A9460" w14:textId="09A3D2B8" w:rsidR="00EE1730" w:rsidRPr="00A85DEC" w:rsidRDefault="00EE1730" w:rsidP="00EE1730">
            <w:pPr>
              <w:pStyle w:val="Heading2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2</w:t>
            </w:r>
            <w:r w:rsidRPr="005567A0">
              <w:rPr>
                <w:bCs/>
                <w:szCs w:val="24"/>
              </w:rPr>
              <w:t xml:space="preserve">023/24 BUDGET AND FUTURE FORECASTS – PROCESS, RISKS </w:t>
            </w:r>
            <w:r>
              <w:rPr>
                <w:bCs/>
                <w:szCs w:val="24"/>
              </w:rPr>
              <w:t>AND</w:t>
            </w:r>
            <w:r w:rsidRPr="005567A0">
              <w:rPr>
                <w:bCs/>
                <w:szCs w:val="24"/>
              </w:rPr>
              <w:t xml:space="preserve"> ASSUMPTIONS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AEF68" w14:textId="77777777" w:rsidR="00EE1730" w:rsidRPr="008A753B" w:rsidRDefault="00EE1730" w:rsidP="00EE1730">
            <w:pPr>
              <w:spacing w:before="60" w:after="60"/>
              <w:ind w:right="-109"/>
              <w:jc w:val="right"/>
              <w:rPr>
                <w:sz w:val="24"/>
                <w:szCs w:val="24"/>
              </w:rPr>
            </w:pPr>
          </w:p>
        </w:tc>
      </w:tr>
      <w:tr w:rsidR="00EE1730" w:rsidRPr="008A753B" w14:paraId="46672EDD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0EAAD1" w14:textId="77777777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E5959" w14:textId="45EFB409" w:rsidR="00E43B28" w:rsidRDefault="00261FE3" w:rsidP="00EE1730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CFO </w:t>
            </w:r>
            <w:r w:rsidR="00CA3BD5">
              <w:rPr>
                <w:sz w:val="24"/>
                <w:szCs w:val="24"/>
              </w:rPr>
              <w:t>noted the</w:t>
            </w:r>
            <w:r w:rsidR="0029787F">
              <w:rPr>
                <w:sz w:val="24"/>
                <w:szCs w:val="24"/>
              </w:rPr>
              <w:t xml:space="preserve"> University’s</w:t>
            </w:r>
            <w:r w:rsidR="00611B5C">
              <w:rPr>
                <w:sz w:val="24"/>
                <w:szCs w:val="24"/>
              </w:rPr>
              <w:t xml:space="preserve"> historic </w:t>
            </w:r>
            <w:r w:rsidR="00E43B28">
              <w:rPr>
                <w:sz w:val="24"/>
                <w:szCs w:val="24"/>
              </w:rPr>
              <w:t>financial strategy to invest in the University rather than create large surpluses</w:t>
            </w:r>
            <w:r w:rsidR="007600EE">
              <w:rPr>
                <w:sz w:val="24"/>
                <w:szCs w:val="24"/>
              </w:rPr>
              <w:t xml:space="preserve"> and members were assured that, despite the current financial challenges, the </w:t>
            </w:r>
            <w:r w:rsidR="00576088">
              <w:rPr>
                <w:sz w:val="24"/>
                <w:szCs w:val="24"/>
              </w:rPr>
              <w:t>long-term</w:t>
            </w:r>
            <w:r w:rsidR="007600EE">
              <w:rPr>
                <w:sz w:val="24"/>
                <w:szCs w:val="24"/>
              </w:rPr>
              <w:t xml:space="preserve"> strategy of income diversification/growth was the right one. It was reported that, </w:t>
            </w:r>
            <w:r w:rsidR="00CA3BD5">
              <w:rPr>
                <w:sz w:val="24"/>
                <w:szCs w:val="24"/>
              </w:rPr>
              <w:t>d</w:t>
            </w:r>
            <w:r w:rsidR="00611B5C">
              <w:rPr>
                <w:sz w:val="24"/>
                <w:szCs w:val="24"/>
              </w:rPr>
              <w:t xml:space="preserve">ue to </w:t>
            </w:r>
            <w:r w:rsidR="007600EE">
              <w:rPr>
                <w:sz w:val="24"/>
                <w:szCs w:val="24"/>
              </w:rPr>
              <w:t xml:space="preserve">the </w:t>
            </w:r>
            <w:r w:rsidR="00611B5C">
              <w:rPr>
                <w:sz w:val="24"/>
                <w:szCs w:val="24"/>
              </w:rPr>
              <w:t xml:space="preserve">impact of the static undergraduate fee (which represented a real term erosion of income), recruitment and retention </w:t>
            </w:r>
            <w:r w:rsidR="007600EE">
              <w:rPr>
                <w:sz w:val="24"/>
                <w:szCs w:val="24"/>
              </w:rPr>
              <w:t>performance</w:t>
            </w:r>
            <w:r w:rsidR="00611B5C">
              <w:rPr>
                <w:sz w:val="24"/>
                <w:szCs w:val="24"/>
              </w:rPr>
              <w:t xml:space="preserve"> and rising pay costs, the budget challenge (since the Financial Forecast was last submitted to the OfS) had </w:t>
            </w:r>
            <w:r w:rsidR="007600EE">
              <w:rPr>
                <w:sz w:val="24"/>
                <w:szCs w:val="24"/>
              </w:rPr>
              <w:t xml:space="preserve">increased </w:t>
            </w:r>
            <w:r w:rsidR="00C30EF3">
              <w:rPr>
                <w:sz w:val="24"/>
                <w:szCs w:val="24"/>
              </w:rPr>
              <w:t>significantly</w:t>
            </w:r>
            <w:r w:rsidR="00611B5C">
              <w:rPr>
                <w:sz w:val="24"/>
                <w:szCs w:val="24"/>
              </w:rPr>
              <w:t>. This mean</w:t>
            </w:r>
            <w:r w:rsidR="005900C1">
              <w:rPr>
                <w:sz w:val="24"/>
                <w:szCs w:val="24"/>
              </w:rPr>
              <w:t>t</w:t>
            </w:r>
            <w:r w:rsidR="00611B5C">
              <w:rPr>
                <w:sz w:val="24"/>
                <w:szCs w:val="24"/>
              </w:rPr>
              <w:t xml:space="preserve"> that an even more stringent and robust budget planning process was required to create sufficient headroom in the Financial Forecast to meet the challenges of the next 2-3 years before the longer-term benefits </w:t>
            </w:r>
            <w:r w:rsidR="007600EE">
              <w:rPr>
                <w:sz w:val="24"/>
                <w:szCs w:val="24"/>
              </w:rPr>
              <w:t xml:space="preserve">could be realised </w:t>
            </w:r>
            <w:r w:rsidR="00611B5C">
              <w:rPr>
                <w:sz w:val="24"/>
                <w:szCs w:val="24"/>
              </w:rPr>
              <w:t xml:space="preserve">from the Online Project and Brent Cross Town development. </w:t>
            </w:r>
          </w:p>
          <w:p w14:paraId="5DC9F848" w14:textId="3C0335DF" w:rsidR="00E43B28" w:rsidRDefault="00611B5C" w:rsidP="00EE1730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noted that </w:t>
            </w:r>
            <w:r w:rsidR="00E43B28">
              <w:rPr>
                <w:sz w:val="24"/>
                <w:szCs w:val="24"/>
              </w:rPr>
              <w:t>Colleges and Prof</w:t>
            </w:r>
            <w:r>
              <w:rPr>
                <w:sz w:val="24"/>
                <w:szCs w:val="24"/>
              </w:rPr>
              <w:t>essional</w:t>
            </w:r>
            <w:r w:rsidR="00E43B28">
              <w:rPr>
                <w:sz w:val="24"/>
                <w:szCs w:val="24"/>
              </w:rPr>
              <w:t xml:space="preserve"> Services </w:t>
            </w:r>
            <w:r>
              <w:rPr>
                <w:sz w:val="24"/>
                <w:szCs w:val="24"/>
              </w:rPr>
              <w:t xml:space="preserve">Directorates were </w:t>
            </w:r>
            <w:r w:rsidR="00E43B28">
              <w:rPr>
                <w:sz w:val="24"/>
                <w:szCs w:val="24"/>
              </w:rPr>
              <w:t xml:space="preserve">finalising initial cost savings proposals </w:t>
            </w:r>
            <w:r>
              <w:rPr>
                <w:sz w:val="24"/>
                <w:szCs w:val="24"/>
              </w:rPr>
              <w:t>for review by the Executive Leadership Team</w:t>
            </w:r>
            <w:r w:rsidR="00E43B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43B28">
              <w:rPr>
                <w:sz w:val="24"/>
                <w:szCs w:val="24"/>
              </w:rPr>
              <w:t>ELT</w:t>
            </w:r>
            <w:r>
              <w:rPr>
                <w:sz w:val="24"/>
                <w:szCs w:val="24"/>
              </w:rPr>
              <w:t>)</w:t>
            </w:r>
            <w:r w:rsidR="00E43B28">
              <w:rPr>
                <w:sz w:val="24"/>
                <w:szCs w:val="24"/>
              </w:rPr>
              <w:t xml:space="preserve"> next week in line with </w:t>
            </w:r>
            <w:r>
              <w:rPr>
                <w:sz w:val="24"/>
                <w:szCs w:val="24"/>
              </w:rPr>
              <w:t xml:space="preserve">the </w:t>
            </w:r>
            <w:r w:rsidR="007600EE">
              <w:rPr>
                <w:sz w:val="24"/>
                <w:szCs w:val="24"/>
              </w:rPr>
              <w:t>updated</w:t>
            </w:r>
            <w:r w:rsidR="00E43B28">
              <w:rPr>
                <w:sz w:val="24"/>
                <w:szCs w:val="24"/>
              </w:rPr>
              <w:t xml:space="preserve"> </w:t>
            </w:r>
            <w:r w:rsidR="007600EE">
              <w:rPr>
                <w:sz w:val="24"/>
                <w:szCs w:val="24"/>
              </w:rPr>
              <w:t>student number planning</w:t>
            </w:r>
            <w:r w:rsidR="00E43B28">
              <w:rPr>
                <w:sz w:val="24"/>
                <w:szCs w:val="24"/>
              </w:rPr>
              <w:t xml:space="preserve"> steer</w:t>
            </w:r>
            <w:r>
              <w:rPr>
                <w:sz w:val="24"/>
                <w:szCs w:val="24"/>
              </w:rPr>
              <w:t>.</w:t>
            </w:r>
            <w:r w:rsidR="00E43B28">
              <w:rPr>
                <w:sz w:val="24"/>
                <w:szCs w:val="24"/>
              </w:rPr>
              <w:t xml:space="preserve"> </w:t>
            </w:r>
          </w:p>
          <w:p w14:paraId="49BBD856" w14:textId="354EBC97" w:rsidR="00DA2EE9" w:rsidRPr="00B10438" w:rsidRDefault="00611B5C" w:rsidP="00FF749A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response to a query</w:t>
            </w:r>
            <w:r w:rsidR="00FF749A">
              <w:rPr>
                <w:sz w:val="24"/>
                <w:szCs w:val="24"/>
              </w:rPr>
              <w:t xml:space="preserve"> on whether decisions</w:t>
            </w:r>
            <w:r w:rsidR="007600EE">
              <w:rPr>
                <w:sz w:val="24"/>
                <w:szCs w:val="24"/>
              </w:rPr>
              <w:t xml:space="preserve"> made</w:t>
            </w:r>
            <w:r w:rsidR="00FF749A">
              <w:rPr>
                <w:sz w:val="24"/>
                <w:szCs w:val="24"/>
              </w:rPr>
              <w:t xml:space="preserve"> now </w:t>
            </w:r>
            <w:r w:rsidR="007600EE">
              <w:rPr>
                <w:sz w:val="24"/>
                <w:szCs w:val="24"/>
              </w:rPr>
              <w:t xml:space="preserve">as part of the planning process, </w:t>
            </w:r>
            <w:r w:rsidR="00FF749A">
              <w:rPr>
                <w:sz w:val="24"/>
                <w:szCs w:val="24"/>
              </w:rPr>
              <w:t xml:space="preserve">could be </w:t>
            </w:r>
            <w:r w:rsidR="007600EE">
              <w:rPr>
                <w:sz w:val="24"/>
                <w:szCs w:val="24"/>
              </w:rPr>
              <w:t xml:space="preserve">detrimental </w:t>
            </w:r>
            <w:r w:rsidR="00E43B28">
              <w:rPr>
                <w:sz w:val="24"/>
                <w:szCs w:val="24"/>
              </w:rPr>
              <w:t xml:space="preserve">to </w:t>
            </w:r>
            <w:r w:rsidR="007600EE">
              <w:rPr>
                <w:sz w:val="24"/>
                <w:szCs w:val="24"/>
              </w:rPr>
              <w:t xml:space="preserve">the </w:t>
            </w:r>
            <w:r w:rsidR="00E43B28">
              <w:rPr>
                <w:sz w:val="24"/>
                <w:szCs w:val="24"/>
              </w:rPr>
              <w:t>long</w:t>
            </w:r>
            <w:r w:rsidR="00DD0E89">
              <w:rPr>
                <w:sz w:val="24"/>
                <w:szCs w:val="24"/>
              </w:rPr>
              <w:t>-</w:t>
            </w:r>
            <w:r w:rsidR="00E43B28">
              <w:rPr>
                <w:sz w:val="24"/>
                <w:szCs w:val="24"/>
              </w:rPr>
              <w:t>term strategy</w:t>
            </w:r>
            <w:r w:rsidR="00FF749A">
              <w:rPr>
                <w:sz w:val="24"/>
                <w:szCs w:val="24"/>
              </w:rPr>
              <w:t xml:space="preserve">, the Vice-Chancellor reported that the Executive were </w:t>
            </w:r>
            <w:r w:rsidR="00DA2EE9">
              <w:rPr>
                <w:sz w:val="24"/>
                <w:szCs w:val="24"/>
              </w:rPr>
              <w:t xml:space="preserve">continually monitoring </w:t>
            </w:r>
            <w:r w:rsidR="007600EE">
              <w:rPr>
                <w:sz w:val="24"/>
                <w:szCs w:val="24"/>
              </w:rPr>
              <w:t xml:space="preserve">the </w:t>
            </w:r>
            <w:r w:rsidR="00DA2EE9">
              <w:rPr>
                <w:sz w:val="24"/>
                <w:szCs w:val="24"/>
              </w:rPr>
              <w:t xml:space="preserve">impact on </w:t>
            </w:r>
            <w:r w:rsidR="00FF749A">
              <w:rPr>
                <w:sz w:val="24"/>
                <w:szCs w:val="24"/>
              </w:rPr>
              <w:t xml:space="preserve">the University’s </w:t>
            </w:r>
            <w:r w:rsidR="00576088">
              <w:rPr>
                <w:sz w:val="24"/>
                <w:szCs w:val="24"/>
              </w:rPr>
              <w:t>longer-term</w:t>
            </w:r>
            <w:r w:rsidR="00FF749A">
              <w:rPr>
                <w:sz w:val="24"/>
                <w:szCs w:val="24"/>
              </w:rPr>
              <w:t xml:space="preserve"> plans.</w:t>
            </w:r>
          </w:p>
        </w:tc>
      </w:tr>
      <w:tr w:rsidR="00611B5C" w:rsidRPr="008A753B" w14:paraId="65203424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CED493" w14:textId="77777777" w:rsidR="00611B5C" w:rsidRDefault="00611B5C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DA998" w14:textId="4E206CC5" w:rsidR="00611B5C" w:rsidRDefault="00FF749A" w:rsidP="005B5506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independent member of the Committee </w:t>
            </w:r>
            <w:r w:rsidR="007600EE">
              <w:rPr>
                <w:sz w:val="24"/>
                <w:szCs w:val="24"/>
              </w:rPr>
              <w:t xml:space="preserve">provided feedback to </w:t>
            </w:r>
            <w:r>
              <w:rPr>
                <w:sz w:val="24"/>
                <w:szCs w:val="24"/>
              </w:rPr>
              <w:t xml:space="preserve">FEC </w:t>
            </w:r>
            <w:r w:rsidR="007600EE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his briefing on the </w:t>
            </w:r>
            <w:r w:rsidRPr="007600EE">
              <w:rPr>
                <w:sz w:val="24"/>
                <w:szCs w:val="24"/>
              </w:rPr>
              <w:t>University’s debt collection processes</w:t>
            </w:r>
            <w:r w:rsidR="00DD0E89">
              <w:rPr>
                <w:sz w:val="24"/>
                <w:szCs w:val="24"/>
              </w:rPr>
              <w:t xml:space="preserve"> which </w:t>
            </w:r>
            <w:r w:rsidRPr="007600EE">
              <w:rPr>
                <w:sz w:val="24"/>
                <w:szCs w:val="24"/>
              </w:rPr>
              <w:t xml:space="preserve">overall had </w:t>
            </w:r>
            <w:r w:rsidR="00DD0E89">
              <w:rPr>
                <w:sz w:val="24"/>
                <w:szCs w:val="24"/>
              </w:rPr>
              <w:t xml:space="preserve">provided assurance in this area. </w:t>
            </w:r>
          </w:p>
        </w:tc>
      </w:tr>
      <w:tr w:rsidR="00EE1730" w:rsidRPr="008A753B" w14:paraId="10FCDC95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873F85" w14:textId="77777777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CB5F2" w14:textId="46C9A593" w:rsidR="00EE1730" w:rsidRPr="00B466B1" w:rsidRDefault="00EE1730" w:rsidP="00EE1730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  <w:rPr>
                <w:sz w:val="24"/>
                <w:szCs w:val="24"/>
              </w:rPr>
            </w:pPr>
            <w:r w:rsidRPr="004E53C5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</w:t>
            </w:r>
            <w:r w:rsidR="005B5506">
              <w:rPr>
                <w:sz w:val="24"/>
                <w:szCs w:val="24"/>
              </w:rPr>
              <w:t>The CFO</w:t>
            </w:r>
            <w:r w:rsidR="00611B5C">
              <w:rPr>
                <w:sz w:val="24"/>
                <w:szCs w:val="24"/>
              </w:rPr>
              <w:t xml:space="preserve"> offered </w:t>
            </w:r>
            <w:r w:rsidR="005B5506">
              <w:rPr>
                <w:sz w:val="24"/>
                <w:szCs w:val="24"/>
              </w:rPr>
              <w:t>to hold</w:t>
            </w:r>
            <w:r w:rsidR="006C3C28">
              <w:rPr>
                <w:sz w:val="24"/>
                <w:szCs w:val="24"/>
              </w:rPr>
              <w:t xml:space="preserve"> an ‘introduction to</w:t>
            </w:r>
            <w:r w:rsidR="00611B5C">
              <w:rPr>
                <w:sz w:val="24"/>
                <w:szCs w:val="24"/>
              </w:rPr>
              <w:t xml:space="preserve"> finance</w:t>
            </w:r>
            <w:r w:rsidR="006C3C28">
              <w:rPr>
                <w:sz w:val="24"/>
                <w:szCs w:val="24"/>
              </w:rPr>
              <w:t>’</w:t>
            </w:r>
            <w:r w:rsidR="005B5506">
              <w:rPr>
                <w:sz w:val="24"/>
                <w:szCs w:val="24"/>
              </w:rPr>
              <w:t xml:space="preserve"> </w:t>
            </w:r>
            <w:r w:rsidR="006C3C28">
              <w:rPr>
                <w:sz w:val="24"/>
                <w:szCs w:val="24"/>
              </w:rPr>
              <w:t xml:space="preserve">session for </w:t>
            </w:r>
            <w:r w:rsidR="005B5506">
              <w:rPr>
                <w:sz w:val="24"/>
                <w:szCs w:val="24"/>
              </w:rPr>
              <w:t>FEC</w:t>
            </w:r>
            <w:r w:rsidR="00611B5C">
              <w:rPr>
                <w:sz w:val="24"/>
                <w:szCs w:val="24"/>
              </w:rPr>
              <w:t xml:space="preserve"> members (and </w:t>
            </w:r>
            <w:r w:rsidR="005B5506">
              <w:rPr>
                <w:sz w:val="24"/>
                <w:szCs w:val="24"/>
              </w:rPr>
              <w:t xml:space="preserve">to extend this to </w:t>
            </w:r>
            <w:r w:rsidR="006C3C28">
              <w:rPr>
                <w:sz w:val="24"/>
                <w:szCs w:val="24"/>
              </w:rPr>
              <w:t xml:space="preserve">all </w:t>
            </w:r>
            <w:r w:rsidR="00611B5C">
              <w:rPr>
                <w:sz w:val="24"/>
                <w:szCs w:val="24"/>
              </w:rPr>
              <w:t>Governors).</w:t>
            </w:r>
          </w:p>
        </w:tc>
      </w:tr>
      <w:tr w:rsidR="00EE1730" w:rsidRPr="008A753B" w14:paraId="3B28120E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E39D2D" w14:textId="5C3BC14B" w:rsidR="00EE1730" w:rsidRPr="008A753B" w:rsidRDefault="00EE1730" w:rsidP="00EE173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5" w:name="_Hlk119580530"/>
            <w:bookmarkStart w:id="6" w:name="_Hlk128499660"/>
            <w:bookmarkStart w:id="7" w:name="_Hlk120019320"/>
            <w:bookmarkEnd w:id="3"/>
            <w:r>
              <w:t>FEC/</w:t>
            </w:r>
            <w:r w:rsidR="003372E6">
              <w:t>2023-03-01</w:t>
            </w:r>
            <w:r>
              <w:t>/7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1183D1" w14:textId="7D47AF8D" w:rsidR="00EE1730" w:rsidRPr="008A753B" w:rsidRDefault="00EE1730" w:rsidP="00EE1730">
            <w:pPr>
              <w:pStyle w:val="Heading2"/>
            </w:pPr>
            <w:r>
              <w:rPr>
                <w:bCs/>
                <w:szCs w:val="24"/>
              </w:rPr>
              <w:t xml:space="preserve">DIGITAL TRANSFORMATION </w:t>
            </w:r>
            <w:r w:rsidR="00E43B28">
              <w:rPr>
                <w:bCs/>
                <w:szCs w:val="24"/>
              </w:rPr>
              <w:t>REP</w:t>
            </w:r>
            <w:r>
              <w:rPr>
                <w:bCs/>
                <w:szCs w:val="24"/>
              </w:rPr>
              <w:t>ORT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FAB2CE" w14:textId="0DDB7F15" w:rsidR="00EE1730" w:rsidRDefault="00EE1730" w:rsidP="00EE1730">
            <w:pPr>
              <w:pStyle w:val="Heading3"/>
              <w:spacing w:before="60" w:after="60"/>
              <w:ind w:left="-113" w:right="-110"/>
              <w:jc w:val="right"/>
            </w:pPr>
            <w:r>
              <w:t>FEC/</w:t>
            </w:r>
            <w:r w:rsidR="003372E6">
              <w:t>2023-03-01</w:t>
            </w:r>
            <w:r>
              <w:t>/P7</w:t>
            </w:r>
          </w:p>
          <w:p w14:paraId="03AA666D" w14:textId="77777777" w:rsidR="00EE1730" w:rsidRPr="00CF367D" w:rsidRDefault="00EE1730" w:rsidP="00EE1730"/>
        </w:tc>
      </w:tr>
      <w:tr w:rsidR="00EE1730" w:rsidRPr="00820AC3" w14:paraId="051F6C7E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B496E3E" w14:textId="02710A6E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14:paraId="5BAC8962" w14:textId="55D18AE0" w:rsidR="00EE1730" w:rsidRPr="00DD4156" w:rsidRDefault="00EE1730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received an update from the Group Director, Infrastructure and Change </w:t>
            </w:r>
            <w:r w:rsidR="00EC557E">
              <w:rPr>
                <w:sz w:val="24"/>
                <w:szCs w:val="24"/>
              </w:rPr>
              <w:t>on progress since the last meeting</w:t>
            </w:r>
            <w:r w:rsidR="00DD4156">
              <w:rPr>
                <w:sz w:val="24"/>
                <w:szCs w:val="24"/>
              </w:rPr>
              <w:t xml:space="preserve">, and outlined the purpose of the demonstration to </w:t>
            </w:r>
            <w:proofErr w:type="gramStart"/>
            <w:r w:rsidR="00DD4156">
              <w:rPr>
                <w:sz w:val="24"/>
                <w:szCs w:val="24"/>
              </w:rPr>
              <w:t>provide an introduction to</w:t>
            </w:r>
            <w:proofErr w:type="gramEnd"/>
            <w:r w:rsidR="00DD4156">
              <w:rPr>
                <w:sz w:val="24"/>
                <w:szCs w:val="24"/>
              </w:rPr>
              <w:t xml:space="preserve"> Blackboard (the University’s Virtual Learning Environment) and </w:t>
            </w:r>
            <w:r w:rsidR="00C214B7">
              <w:rPr>
                <w:sz w:val="24"/>
                <w:szCs w:val="24"/>
              </w:rPr>
              <w:t>Learner Analytics application.</w:t>
            </w:r>
          </w:p>
        </w:tc>
      </w:tr>
      <w:tr w:rsidR="00EE1730" w:rsidRPr="00820AC3" w14:paraId="221A001D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2191C2DD" w14:textId="1E935DF5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97D90A5" w14:textId="52544DFB" w:rsidR="000C2A74" w:rsidRDefault="006C3C28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Churchill, Senior Lecturer</w:t>
            </w:r>
            <w:r w:rsidR="00C214B7">
              <w:rPr>
                <w:sz w:val="24"/>
                <w:szCs w:val="24"/>
              </w:rPr>
              <w:t xml:space="preserve"> from the</w:t>
            </w:r>
            <w:r>
              <w:rPr>
                <w:sz w:val="24"/>
                <w:szCs w:val="24"/>
              </w:rPr>
              <w:t xml:space="preserve"> Directorate of Student Experience, Teaching and Learning </w:t>
            </w:r>
            <w:r w:rsidR="00DD4156">
              <w:rPr>
                <w:sz w:val="24"/>
                <w:szCs w:val="24"/>
              </w:rPr>
              <w:t>gave an informative presentation</w:t>
            </w:r>
            <w:r>
              <w:rPr>
                <w:sz w:val="24"/>
                <w:szCs w:val="24"/>
              </w:rPr>
              <w:t xml:space="preserve"> </w:t>
            </w:r>
            <w:r w:rsidR="00C214B7">
              <w:rPr>
                <w:sz w:val="24"/>
                <w:szCs w:val="24"/>
              </w:rPr>
              <w:t xml:space="preserve">on the </w:t>
            </w:r>
            <w:r w:rsidR="00DD0E89">
              <w:rPr>
                <w:sz w:val="24"/>
                <w:szCs w:val="24"/>
              </w:rPr>
              <w:t>two</w:t>
            </w:r>
            <w:r w:rsidR="00C214B7">
              <w:rPr>
                <w:sz w:val="24"/>
                <w:szCs w:val="24"/>
              </w:rPr>
              <w:t xml:space="preserve"> student facing applications highlighting the key features f</w:t>
            </w:r>
            <w:r w:rsidR="000C2A74">
              <w:rPr>
                <w:sz w:val="24"/>
                <w:szCs w:val="24"/>
              </w:rPr>
              <w:t xml:space="preserve">rom </w:t>
            </w:r>
            <w:r w:rsidR="00C214B7">
              <w:rPr>
                <w:sz w:val="24"/>
                <w:szCs w:val="24"/>
              </w:rPr>
              <w:t xml:space="preserve">both an academic advisor </w:t>
            </w:r>
            <w:r w:rsidR="000C2A74">
              <w:rPr>
                <w:sz w:val="24"/>
                <w:szCs w:val="24"/>
              </w:rPr>
              <w:t>and student perspective.</w:t>
            </w:r>
            <w:r w:rsidR="00C214B7">
              <w:rPr>
                <w:sz w:val="24"/>
                <w:szCs w:val="24"/>
              </w:rPr>
              <w:t xml:space="preserve"> It was noted that each click in Blackboard left a</w:t>
            </w:r>
            <w:r w:rsidR="000C2A74">
              <w:rPr>
                <w:sz w:val="24"/>
                <w:szCs w:val="24"/>
              </w:rPr>
              <w:t xml:space="preserve"> digital footprint </w:t>
            </w:r>
            <w:r w:rsidR="00C214B7">
              <w:rPr>
                <w:sz w:val="24"/>
                <w:szCs w:val="24"/>
              </w:rPr>
              <w:t>which linked</w:t>
            </w:r>
            <w:r w:rsidR="000C2A74">
              <w:rPr>
                <w:sz w:val="24"/>
                <w:szCs w:val="24"/>
              </w:rPr>
              <w:t xml:space="preserve"> to Learner Analytics</w:t>
            </w:r>
            <w:r w:rsidR="00C214B7">
              <w:rPr>
                <w:sz w:val="24"/>
                <w:szCs w:val="24"/>
              </w:rPr>
              <w:t xml:space="preserve"> to </w:t>
            </w:r>
            <w:r w:rsidR="00DD0E89">
              <w:rPr>
                <w:sz w:val="24"/>
                <w:szCs w:val="24"/>
              </w:rPr>
              <w:t>demonstrate</w:t>
            </w:r>
            <w:r w:rsidR="000C2A74">
              <w:rPr>
                <w:sz w:val="24"/>
                <w:szCs w:val="24"/>
              </w:rPr>
              <w:t xml:space="preserve"> </w:t>
            </w:r>
            <w:r w:rsidR="00C214B7">
              <w:rPr>
                <w:sz w:val="24"/>
                <w:szCs w:val="24"/>
              </w:rPr>
              <w:t>how students engaged with the range of virtual learning materials, including a t</w:t>
            </w:r>
            <w:r w:rsidR="000C2A74">
              <w:rPr>
                <w:sz w:val="24"/>
                <w:szCs w:val="24"/>
              </w:rPr>
              <w:t>raffic light system for module engagement</w:t>
            </w:r>
            <w:r w:rsidR="004A6679">
              <w:rPr>
                <w:sz w:val="24"/>
                <w:szCs w:val="24"/>
              </w:rPr>
              <w:t>, academic risk score, assessment activity</w:t>
            </w:r>
            <w:r w:rsidR="00DD0E89">
              <w:rPr>
                <w:sz w:val="24"/>
                <w:szCs w:val="24"/>
              </w:rPr>
              <w:t>/</w:t>
            </w:r>
            <w:r w:rsidR="004A6679">
              <w:rPr>
                <w:sz w:val="24"/>
                <w:szCs w:val="24"/>
              </w:rPr>
              <w:t>grades</w:t>
            </w:r>
            <w:r w:rsidR="00C214B7">
              <w:rPr>
                <w:sz w:val="24"/>
                <w:szCs w:val="24"/>
              </w:rPr>
              <w:t xml:space="preserve"> and </w:t>
            </w:r>
            <w:r w:rsidR="004A6679">
              <w:rPr>
                <w:sz w:val="24"/>
                <w:szCs w:val="24"/>
              </w:rPr>
              <w:t xml:space="preserve">average engagement data. </w:t>
            </w:r>
            <w:r w:rsidR="00DD0E89">
              <w:rPr>
                <w:sz w:val="24"/>
                <w:szCs w:val="24"/>
              </w:rPr>
              <w:t>The system</w:t>
            </w:r>
            <w:r w:rsidR="00C214B7">
              <w:rPr>
                <w:sz w:val="24"/>
                <w:szCs w:val="24"/>
              </w:rPr>
              <w:t xml:space="preserve"> </w:t>
            </w:r>
            <w:r w:rsidR="004A6679">
              <w:rPr>
                <w:sz w:val="24"/>
                <w:szCs w:val="24"/>
              </w:rPr>
              <w:lastRenderedPageBreak/>
              <w:t>functionality to record interactions with students</w:t>
            </w:r>
            <w:r w:rsidR="00DD0E89">
              <w:rPr>
                <w:sz w:val="24"/>
                <w:szCs w:val="24"/>
              </w:rPr>
              <w:t xml:space="preserve">, </w:t>
            </w:r>
            <w:r w:rsidR="00C214B7">
              <w:rPr>
                <w:sz w:val="24"/>
                <w:szCs w:val="24"/>
              </w:rPr>
              <w:t xml:space="preserve">secure access </w:t>
            </w:r>
            <w:r w:rsidR="00DD0E89">
              <w:rPr>
                <w:sz w:val="24"/>
                <w:szCs w:val="24"/>
              </w:rPr>
              <w:t xml:space="preserve">provisions and compliance with </w:t>
            </w:r>
            <w:r w:rsidR="00C214B7">
              <w:rPr>
                <w:sz w:val="24"/>
                <w:szCs w:val="24"/>
              </w:rPr>
              <w:t>G</w:t>
            </w:r>
            <w:r w:rsidR="004A6679">
              <w:rPr>
                <w:sz w:val="24"/>
                <w:szCs w:val="24"/>
              </w:rPr>
              <w:t xml:space="preserve">DPR </w:t>
            </w:r>
            <w:r w:rsidR="00DD0E89">
              <w:rPr>
                <w:sz w:val="24"/>
                <w:szCs w:val="24"/>
              </w:rPr>
              <w:t>were also highlighted</w:t>
            </w:r>
            <w:r w:rsidR="00C214B7">
              <w:rPr>
                <w:sz w:val="24"/>
                <w:szCs w:val="24"/>
              </w:rPr>
              <w:t>.</w:t>
            </w:r>
          </w:p>
          <w:p w14:paraId="27221074" w14:textId="5D04E165" w:rsidR="004A6679" w:rsidRDefault="00C214B7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response to a query on whether s</w:t>
            </w:r>
            <w:r w:rsidR="004A6679">
              <w:rPr>
                <w:sz w:val="24"/>
                <w:szCs w:val="24"/>
              </w:rPr>
              <w:t xml:space="preserve">tudents </w:t>
            </w:r>
            <w:r>
              <w:rPr>
                <w:sz w:val="24"/>
                <w:szCs w:val="24"/>
              </w:rPr>
              <w:t>could review their</w:t>
            </w:r>
            <w:r w:rsidR="004A6679">
              <w:rPr>
                <w:sz w:val="24"/>
                <w:szCs w:val="24"/>
              </w:rPr>
              <w:t xml:space="preserve"> own analytics</w:t>
            </w:r>
            <w:r>
              <w:rPr>
                <w:sz w:val="24"/>
                <w:szCs w:val="24"/>
              </w:rPr>
              <w:t>, it was noted that a s</w:t>
            </w:r>
            <w:r w:rsidR="004A6679">
              <w:rPr>
                <w:sz w:val="24"/>
                <w:szCs w:val="24"/>
              </w:rPr>
              <w:t>tudent</w:t>
            </w:r>
            <w:r w:rsidR="00DD0E89">
              <w:rPr>
                <w:sz w:val="24"/>
                <w:szCs w:val="24"/>
              </w:rPr>
              <w:t xml:space="preserve"> </w:t>
            </w:r>
            <w:r w:rsidR="004A6679">
              <w:rPr>
                <w:sz w:val="24"/>
                <w:szCs w:val="24"/>
              </w:rPr>
              <w:t>facing web app</w:t>
            </w:r>
            <w:r>
              <w:rPr>
                <w:sz w:val="24"/>
                <w:szCs w:val="24"/>
              </w:rPr>
              <w:t>lication ‘M</w:t>
            </w:r>
            <w:r w:rsidR="004A6679"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S</w:t>
            </w:r>
            <w:r w:rsidR="004A6679">
              <w:rPr>
                <w:sz w:val="24"/>
                <w:szCs w:val="24"/>
              </w:rPr>
              <w:t xml:space="preserve">tudy </w:t>
            </w:r>
            <w:r>
              <w:rPr>
                <w:sz w:val="24"/>
                <w:szCs w:val="24"/>
              </w:rPr>
              <w:t>G</w:t>
            </w:r>
            <w:r w:rsidR="004A6679">
              <w:rPr>
                <w:sz w:val="24"/>
                <w:szCs w:val="24"/>
              </w:rPr>
              <w:t>oal</w:t>
            </w:r>
            <w:r>
              <w:rPr>
                <w:sz w:val="24"/>
                <w:szCs w:val="24"/>
              </w:rPr>
              <w:t>’ was available</w:t>
            </w:r>
            <w:r w:rsidR="004A6679">
              <w:rPr>
                <w:sz w:val="24"/>
                <w:szCs w:val="24"/>
              </w:rPr>
              <w:t xml:space="preserve">. </w:t>
            </w:r>
          </w:p>
          <w:p w14:paraId="02F23CFA" w14:textId="3449E898" w:rsidR="004A6679" w:rsidRDefault="00C214B7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queried the potential for</w:t>
            </w:r>
            <w:r w:rsidR="004A6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Blackboard</w:t>
            </w:r>
            <w:r w:rsidR="004A6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record</w:t>
            </w:r>
            <w:r w:rsidR="004A6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attendance information relating to face-to-face activities. It was noted that some p</w:t>
            </w:r>
            <w:r w:rsidR="004A6679">
              <w:rPr>
                <w:sz w:val="24"/>
                <w:szCs w:val="24"/>
              </w:rPr>
              <w:t xml:space="preserve">ractical activities </w:t>
            </w:r>
            <w:r>
              <w:rPr>
                <w:sz w:val="24"/>
                <w:szCs w:val="24"/>
              </w:rPr>
              <w:t>did not require engagement with Blackboard and that it was im</w:t>
            </w:r>
            <w:r w:rsidR="004A6679">
              <w:rPr>
                <w:sz w:val="24"/>
                <w:szCs w:val="24"/>
              </w:rPr>
              <w:t xml:space="preserve">portant for academic advisors to use local knowledge </w:t>
            </w:r>
            <w:r>
              <w:rPr>
                <w:sz w:val="24"/>
                <w:szCs w:val="24"/>
              </w:rPr>
              <w:t>when</w:t>
            </w:r>
            <w:r w:rsidR="004A6679">
              <w:rPr>
                <w:sz w:val="24"/>
                <w:szCs w:val="24"/>
              </w:rPr>
              <w:t xml:space="preserve"> analysing the data. </w:t>
            </w:r>
            <w:r w:rsidR="00C82466">
              <w:rPr>
                <w:sz w:val="24"/>
                <w:szCs w:val="24"/>
              </w:rPr>
              <w:t xml:space="preserve">It was also noted that work on </w:t>
            </w:r>
            <w:proofErr w:type="spellStart"/>
            <w:r w:rsidR="00C82466">
              <w:rPr>
                <w:sz w:val="24"/>
                <w:szCs w:val="24"/>
              </w:rPr>
              <w:t>Check</w:t>
            </w:r>
            <w:r w:rsidR="00C21C18">
              <w:rPr>
                <w:sz w:val="24"/>
                <w:szCs w:val="24"/>
              </w:rPr>
              <w:t>i</w:t>
            </w:r>
            <w:r w:rsidR="00C82466">
              <w:rPr>
                <w:sz w:val="24"/>
                <w:szCs w:val="24"/>
              </w:rPr>
              <w:t>n</w:t>
            </w:r>
            <w:proofErr w:type="spellEnd"/>
            <w:r w:rsidR="00C82466">
              <w:rPr>
                <w:sz w:val="24"/>
                <w:szCs w:val="24"/>
              </w:rPr>
              <w:t xml:space="preserve"> Plus to enhance </w:t>
            </w:r>
            <w:r w:rsidR="00C82466" w:rsidRPr="00022882">
              <w:rPr>
                <w:sz w:val="24"/>
                <w:szCs w:val="24"/>
              </w:rPr>
              <w:t xml:space="preserve">attendance monitoring </w:t>
            </w:r>
            <w:r w:rsidR="00022882" w:rsidRPr="00022882">
              <w:rPr>
                <w:sz w:val="24"/>
                <w:szCs w:val="24"/>
              </w:rPr>
              <w:t xml:space="preserve">functionality was taken place this year in readiness for 2023/24. </w:t>
            </w:r>
          </w:p>
        </w:tc>
      </w:tr>
      <w:tr w:rsidR="00952491" w:rsidRPr="00820AC3" w14:paraId="1655FC9A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0492A3EC" w14:textId="553A97D2" w:rsidR="00952491" w:rsidRDefault="00952491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D92C4BF" w14:textId="4875C4ED" w:rsidR="004A6679" w:rsidRDefault="00C82466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C214B7">
              <w:rPr>
                <w:sz w:val="24"/>
                <w:szCs w:val="24"/>
              </w:rPr>
              <w:t xml:space="preserve">Group Director, Infrastructure and Change reported </w:t>
            </w:r>
            <w:r w:rsidR="00C21C18">
              <w:rPr>
                <w:sz w:val="24"/>
                <w:szCs w:val="24"/>
              </w:rPr>
              <w:t>on the planned move to the</w:t>
            </w:r>
            <w:r w:rsidR="00BF6B68">
              <w:rPr>
                <w:sz w:val="24"/>
                <w:szCs w:val="24"/>
              </w:rPr>
              <w:t xml:space="preserve"> more modern and flexible </w:t>
            </w:r>
            <w:r w:rsidR="00C21C18">
              <w:rPr>
                <w:sz w:val="24"/>
                <w:szCs w:val="24"/>
              </w:rPr>
              <w:t xml:space="preserve">platform, </w:t>
            </w:r>
            <w:r w:rsidR="00E641F5">
              <w:rPr>
                <w:sz w:val="24"/>
                <w:szCs w:val="24"/>
              </w:rPr>
              <w:t>Blackboard Ultra</w:t>
            </w:r>
            <w:r w:rsidR="00C21C18">
              <w:rPr>
                <w:sz w:val="24"/>
                <w:szCs w:val="24"/>
              </w:rPr>
              <w:t xml:space="preserve">. Whilst the landing pages had already been transferred, the </w:t>
            </w:r>
            <w:r w:rsidR="004A6679">
              <w:rPr>
                <w:sz w:val="24"/>
                <w:szCs w:val="24"/>
              </w:rPr>
              <w:t>organisation and module sites</w:t>
            </w:r>
            <w:r w:rsidR="00C21C18">
              <w:rPr>
                <w:sz w:val="24"/>
                <w:szCs w:val="24"/>
              </w:rPr>
              <w:t xml:space="preserve"> would transition</w:t>
            </w:r>
            <w:r w:rsidR="004A6679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Blackboard</w:t>
            </w:r>
            <w:r w:rsidR="004A6679">
              <w:rPr>
                <w:sz w:val="24"/>
                <w:szCs w:val="24"/>
              </w:rPr>
              <w:t xml:space="preserve"> Ultra </w:t>
            </w:r>
            <w:r>
              <w:rPr>
                <w:sz w:val="24"/>
                <w:szCs w:val="24"/>
              </w:rPr>
              <w:t xml:space="preserve">once the course validation associated </w:t>
            </w:r>
            <w:r w:rsidR="004A6679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the</w:t>
            </w:r>
            <w:r w:rsidR="004A6679">
              <w:rPr>
                <w:sz w:val="24"/>
                <w:szCs w:val="24"/>
              </w:rPr>
              <w:t xml:space="preserve"> portfolio review </w:t>
            </w:r>
            <w:r>
              <w:rPr>
                <w:sz w:val="24"/>
                <w:szCs w:val="24"/>
              </w:rPr>
              <w:t>was completed, largely during th</w:t>
            </w:r>
            <w:r w:rsidR="00F10EE8">
              <w:rPr>
                <w:sz w:val="24"/>
                <w:szCs w:val="24"/>
              </w:rPr>
              <w:t>e</w:t>
            </w:r>
            <w:r w:rsidR="004A6679">
              <w:rPr>
                <w:sz w:val="24"/>
                <w:szCs w:val="24"/>
              </w:rPr>
              <w:t xml:space="preserve"> 2023/4 academic yea</w:t>
            </w:r>
            <w:r>
              <w:rPr>
                <w:sz w:val="24"/>
                <w:szCs w:val="24"/>
              </w:rPr>
              <w:t>r</w:t>
            </w:r>
            <w:r w:rsidR="00C21C18">
              <w:rPr>
                <w:sz w:val="24"/>
                <w:szCs w:val="24"/>
              </w:rPr>
              <w:t xml:space="preserve">. Members noted </w:t>
            </w:r>
            <w:r>
              <w:rPr>
                <w:sz w:val="24"/>
                <w:szCs w:val="24"/>
              </w:rPr>
              <w:t xml:space="preserve">that </w:t>
            </w:r>
            <w:r w:rsidR="00C21C18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in</w:t>
            </w:r>
            <w:r w:rsidR="004A6679">
              <w:rPr>
                <w:sz w:val="24"/>
                <w:szCs w:val="24"/>
              </w:rPr>
              <w:t xml:space="preserve">cremental </w:t>
            </w:r>
            <w:r w:rsidR="00C21C18">
              <w:rPr>
                <w:sz w:val="24"/>
                <w:szCs w:val="24"/>
              </w:rPr>
              <w:t>approach</w:t>
            </w:r>
            <w:r w:rsidR="004A6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would</w:t>
            </w:r>
            <w:r w:rsidR="004A6679">
              <w:rPr>
                <w:sz w:val="24"/>
                <w:szCs w:val="24"/>
              </w:rPr>
              <w:t xml:space="preserve"> not be disruptive to students. </w:t>
            </w:r>
          </w:p>
          <w:p w14:paraId="7849D353" w14:textId="69F192EC" w:rsidR="00022882" w:rsidRDefault="00022882" w:rsidP="0002288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query </w:t>
            </w:r>
            <w:r w:rsidRPr="00022882">
              <w:rPr>
                <w:sz w:val="24"/>
                <w:szCs w:val="24"/>
              </w:rPr>
              <w:t>on the selection of Blackboard over other providers, it was reported that continuity of Virtual Learning Environment was helpful during a period of wider change, including the introduction of a new Online portfolio</w:t>
            </w:r>
            <w:r>
              <w:rPr>
                <w:sz w:val="24"/>
                <w:szCs w:val="24"/>
              </w:rPr>
              <w:t xml:space="preserve">. </w:t>
            </w:r>
            <w:r w:rsidRPr="00022882">
              <w:rPr>
                <w:sz w:val="24"/>
                <w:szCs w:val="24"/>
              </w:rPr>
              <w:t xml:space="preserve">The transaction cost associated with switching provider, and that Ultra should provide all capabilities offered by other systems, was noted. </w:t>
            </w:r>
          </w:p>
          <w:p w14:paraId="08A75434" w14:textId="3A7F81A3" w:rsidR="00EE6ACB" w:rsidRDefault="00022882" w:rsidP="0002288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was ongoing in response to changes to the HESA reporting regime; the Data Futures project was a large-scale national programme to rationalise HE data to provide management information and regulatory information to OfS. It was noted that </w:t>
            </w:r>
            <w:r w:rsidRPr="00022882">
              <w:rPr>
                <w:sz w:val="24"/>
                <w:szCs w:val="24"/>
              </w:rPr>
              <w:t xml:space="preserve">all record keeping around students’ enrolment status and academic progress with the </w:t>
            </w:r>
            <w:r>
              <w:rPr>
                <w:sz w:val="24"/>
                <w:szCs w:val="24"/>
              </w:rPr>
              <w:t>U</w:t>
            </w:r>
            <w:r w:rsidRPr="00022882">
              <w:rPr>
                <w:sz w:val="24"/>
                <w:szCs w:val="24"/>
              </w:rPr>
              <w:t>niversity was stored in the SITS system and that a major integration project was underway that would support improved integration between SITS and other applications</w:t>
            </w:r>
            <w:r>
              <w:rPr>
                <w:sz w:val="24"/>
                <w:szCs w:val="24"/>
              </w:rPr>
              <w:t xml:space="preserve"> including Learner Analytics</w:t>
            </w:r>
            <w:r w:rsidRPr="00022882">
              <w:rPr>
                <w:sz w:val="24"/>
                <w:szCs w:val="24"/>
              </w:rPr>
              <w:t>.</w:t>
            </w:r>
          </w:p>
        </w:tc>
      </w:tr>
      <w:tr w:rsidR="007C1BD5" w:rsidRPr="00820AC3" w14:paraId="298A8B7E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59681774" w14:textId="7E514A3A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958AA51" w14:textId="2824BFD6" w:rsidR="007C1BD5" w:rsidRDefault="007C1BD5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7C1BD5" w:rsidRPr="00820AC3" w14:paraId="0F765E9C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795F9BD0" w14:textId="5C537EA6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3E97D3C" w14:textId="55152B96" w:rsidR="007C1BD5" w:rsidRDefault="007C1BD5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noted that Data Futures/SITS technical consultants were in high demand across the sector and that the University was recruiting some interim resource to enhance its technical capability in this area. The Vice-Chancellor confirmed that the Data Futures issue had been logged as risk on the corporate risk register for notification to the Audit and Risk Committee and the Board of Governors.</w:t>
            </w:r>
          </w:p>
        </w:tc>
      </w:tr>
      <w:tr w:rsidR="00EE1730" w:rsidRPr="008A753B" w14:paraId="1AFAD329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C53C2A" w14:textId="783C73D3" w:rsidR="00EE1730" w:rsidRPr="008A753B" w:rsidRDefault="00EE1730" w:rsidP="00EE173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FEC/</w:t>
            </w:r>
            <w:r w:rsidR="003372E6">
              <w:t>2023-03-01</w:t>
            </w:r>
            <w:r>
              <w:t>/8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A1F0A5" w14:textId="443E1F90" w:rsidR="00EE1730" w:rsidRPr="008A753B" w:rsidRDefault="00EE1730" w:rsidP="00EE1730">
            <w:pPr>
              <w:pStyle w:val="Heading2"/>
            </w:pPr>
            <w:r>
              <w:rPr>
                <w:bCs/>
                <w:szCs w:val="24"/>
              </w:rPr>
              <w:t>ESTATES MATTERS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99DE88" w14:textId="7E143C18" w:rsidR="00EE1730" w:rsidRPr="00CF367D" w:rsidRDefault="00EE1730" w:rsidP="00EE1730">
            <w:pPr>
              <w:pStyle w:val="Heading3"/>
              <w:spacing w:before="60" w:after="60"/>
              <w:ind w:left="-113" w:right="-110"/>
              <w:jc w:val="right"/>
            </w:pPr>
          </w:p>
        </w:tc>
      </w:tr>
      <w:tr w:rsidR="00EE1730" w:rsidRPr="00820AC3" w14:paraId="5C33FFE3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B311C08" w14:textId="5B4640B6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bookmarkStart w:id="8" w:name="_Hlk128499784"/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260D65DB" w14:textId="5E055F45" w:rsidR="00EE1730" w:rsidRPr="00820AC3" w:rsidRDefault="00EE1730" w:rsidP="00EE173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Review of the Estate</w:t>
            </w:r>
            <w:r w:rsidR="001B59A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093B47" w14:textId="6CCD2FFB" w:rsidR="00EE1730" w:rsidRPr="00820AC3" w:rsidRDefault="00EE1730" w:rsidP="00EE1730">
            <w:pPr>
              <w:pStyle w:val="Heading3"/>
              <w:spacing w:before="60" w:after="60"/>
              <w:ind w:left="-113" w:right="-110"/>
              <w:jc w:val="right"/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8.1</w:t>
            </w:r>
          </w:p>
        </w:tc>
      </w:tr>
      <w:bookmarkEnd w:id="4"/>
      <w:bookmarkEnd w:id="5"/>
      <w:bookmarkEnd w:id="8"/>
      <w:tr w:rsidR="00EE1730" w:rsidRPr="00820AC3" w14:paraId="70EB061D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50061932" w14:textId="706B7B19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17CC538" w14:textId="241B2D65" w:rsidR="002E6DE9" w:rsidRDefault="00624356" w:rsidP="00490C30">
            <w:pPr>
              <w:spacing w:before="60" w:after="60"/>
              <w:rPr>
                <w:sz w:val="24"/>
                <w:szCs w:val="24"/>
              </w:rPr>
            </w:pPr>
            <w:r>
              <w:rPr>
                <w:rStyle w:val="ui-provider"/>
                <w:sz w:val="24"/>
                <w:szCs w:val="24"/>
              </w:rPr>
              <w:t xml:space="preserve">Members </w:t>
            </w:r>
            <w:r w:rsidR="00C54F13">
              <w:rPr>
                <w:rStyle w:val="ui-provider"/>
                <w:sz w:val="24"/>
                <w:szCs w:val="24"/>
              </w:rPr>
              <w:t>considered the annual report</w:t>
            </w:r>
            <w:r>
              <w:rPr>
                <w:rStyle w:val="ui-provider"/>
                <w:sz w:val="24"/>
                <w:szCs w:val="24"/>
              </w:rPr>
              <w:t xml:space="preserve"> on the condition </w:t>
            </w:r>
            <w:r w:rsidR="00C21C18">
              <w:rPr>
                <w:rStyle w:val="ui-provider"/>
                <w:sz w:val="24"/>
                <w:szCs w:val="24"/>
              </w:rPr>
              <w:t xml:space="preserve">and suitability </w:t>
            </w:r>
            <w:r>
              <w:rPr>
                <w:rStyle w:val="ui-provider"/>
                <w:sz w:val="24"/>
                <w:szCs w:val="24"/>
              </w:rPr>
              <w:t xml:space="preserve">of the </w:t>
            </w:r>
            <w:r w:rsidR="00C82466">
              <w:rPr>
                <w:rStyle w:val="ui-provider"/>
                <w:sz w:val="24"/>
                <w:szCs w:val="24"/>
              </w:rPr>
              <w:t>U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niversity estate </w:t>
            </w:r>
            <w:r>
              <w:rPr>
                <w:rStyle w:val="ui-provider"/>
                <w:sz w:val="24"/>
                <w:szCs w:val="24"/>
              </w:rPr>
              <w:t>which</w:t>
            </w:r>
            <w:r w:rsidR="00C21C18">
              <w:rPr>
                <w:rStyle w:val="ui-provider"/>
                <w:sz w:val="24"/>
                <w:szCs w:val="24"/>
              </w:rPr>
              <w:t xml:space="preserve"> </w:t>
            </w:r>
            <w:r w:rsidR="00C82466" w:rsidRPr="00B34405">
              <w:rPr>
                <w:rStyle w:val="ui-provider"/>
                <w:sz w:val="24"/>
                <w:szCs w:val="24"/>
              </w:rPr>
              <w:t>rang</w:t>
            </w:r>
            <w:r w:rsidR="00C21C18">
              <w:rPr>
                <w:rStyle w:val="ui-provider"/>
                <w:sz w:val="24"/>
                <w:szCs w:val="24"/>
              </w:rPr>
              <w:t xml:space="preserve">ed </w:t>
            </w:r>
            <w:r w:rsidR="00C82466" w:rsidRPr="00B34405">
              <w:rPr>
                <w:rStyle w:val="ui-provider"/>
                <w:sz w:val="24"/>
                <w:szCs w:val="24"/>
              </w:rPr>
              <w:t>from excellent through to poo</w:t>
            </w:r>
            <w:r w:rsidR="00C21C18">
              <w:rPr>
                <w:rStyle w:val="ui-provider"/>
                <w:sz w:val="24"/>
                <w:szCs w:val="24"/>
              </w:rPr>
              <w:t>r, with a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significant residual maintenance requirement</w:t>
            </w:r>
            <w:r w:rsidR="00C21C18">
              <w:rPr>
                <w:rStyle w:val="ui-provider"/>
                <w:sz w:val="24"/>
                <w:szCs w:val="24"/>
              </w:rPr>
              <w:t xml:space="preserve"> in relation to </w:t>
            </w:r>
            <w:r w:rsidR="00C82466" w:rsidRPr="00B34405">
              <w:rPr>
                <w:rStyle w:val="ui-provider"/>
                <w:sz w:val="24"/>
                <w:szCs w:val="24"/>
              </w:rPr>
              <w:t>ag</w:t>
            </w:r>
            <w:r w:rsidR="00C82466">
              <w:rPr>
                <w:rStyle w:val="ui-provider"/>
                <w:sz w:val="24"/>
                <w:szCs w:val="24"/>
              </w:rPr>
              <w:t>e</w:t>
            </w:r>
            <w:r w:rsidR="00C82466" w:rsidRPr="00B34405">
              <w:rPr>
                <w:rStyle w:val="ui-provider"/>
                <w:sz w:val="24"/>
                <w:szCs w:val="24"/>
              </w:rPr>
              <w:t>ing fabric</w:t>
            </w:r>
            <w:r w:rsidR="00C21C18">
              <w:rPr>
                <w:rStyle w:val="ui-provider"/>
                <w:sz w:val="24"/>
                <w:szCs w:val="24"/>
              </w:rPr>
              <w:t xml:space="preserve">, </w:t>
            </w:r>
            <w:r w:rsidR="00C82466" w:rsidRPr="00B34405">
              <w:rPr>
                <w:rStyle w:val="ui-provider"/>
                <w:sz w:val="24"/>
                <w:szCs w:val="24"/>
              </w:rPr>
              <w:t>mechanical</w:t>
            </w:r>
            <w:r w:rsidR="00C21C18">
              <w:rPr>
                <w:rStyle w:val="ui-provider"/>
                <w:sz w:val="24"/>
                <w:szCs w:val="24"/>
              </w:rPr>
              <w:t xml:space="preserve"> and </w:t>
            </w:r>
            <w:r w:rsidR="00C82466" w:rsidRPr="00B34405">
              <w:rPr>
                <w:rStyle w:val="ui-provider"/>
                <w:sz w:val="24"/>
                <w:szCs w:val="24"/>
              </w:rPr>
              <w:t>electrical equipment</w:t>
            </w:r>
            <w:r w:rsidR="00C21C18">
              <w:rPr>
                <w:rStyle w:val="ui-provider"/>
                <w:sz w:val="24"/>
                <w:szCs w:val="24"/>
              </w:rPr>
              <w:t xml:space="preserve"> </w:t>
            </w:r>
            <w:proofErr w:type="gramStart"/>
            <w:r w:rsidR="00C21C18">
              <w:rPr>
                <w:rStyle w:val="ui-provider"/>
                <w:sz w:val="24"/>
                <w:szCs w:val="24"/>
              </w:rPr>
              <w:t>as a consequence</w:t>
            </w:r>
            <w:proofErr w:type="gramEnd"/>
            <w:r w:rsidR="00C82466" w:rsidRPr="00B34405">
              <w:rPr>
                <w:rStyle w:val="ui-provider"/>
                <w:sz w:val="24"/>
                <w:szCs w:val="24"/>
              </w:rPr>
              <w:t xml:space="preserve">. </w:t>
            </w:r>
            <w:r w:rsidR="002E6DE9">
              <w:rPr>
                <w:rStyle w:val="ui-provider"/>
                <w:sz w:val="24"/>
                <w:szCs w:val="24"/>
              </w:rPr>
              <w:t xml:space="preserve">Whilst the </w:t>
            </w:r>
            <w:r w:rsidR="00C82466" w:rsidRPr="00B34405">
              <w:rPr>
                <w:rStyle w:val="ui-provider"/>
                <w:sz w:val="24"/>
                <w:szCs w:val="24"/>
              </w:rPr>
              <w:t>accelerated Campus Plan directly addresse</w:t>
            </w:r>
            <w:r w:rsidR="005B6FAD">
              <w:rPr>
                <w:rStyle w:val="ui-provider"/>
                <w:sz w:val="24"/>
                <w:szCs w:val="24"/>
              </w:rPr>
              <w:t>d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</w:t>
            </w:r>
            <w:r w:rsidR="002E6DE9">
              <w:rPr>
                <w:rStyle w:val="ui-provider"/>
                <w:sz w:val="24"/>
                <w:szCs w:val="24"/>
              </w:rPr>
              <w:t>the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</w:t>
            </w:r>
            <w:r w:rsidR="002E6DE9">
              <w:rPr>
                <w:rStyle w:val="ui-provider"/>
                <w:sz w:val="24"/>
                <w:szCs w:val="24"/>
              </w:rPr>
              <w:t xml:space="preserve">residual maintenance risk </w:t>
            </w:r>
            <w:r w:rsidR="005B6FAD">
              <w:rPr>
                <w:rStyle w:val="ui-provider"/>
                <w:sz w:val="24"/>
                <w:szCs w:val="24"/>
              </w:rPr>
              <w:t>by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</w:t>
            </w:r>
            <w:r w:rsidR="005B6FAD">
              <w:rPr>
                <w:rStyle w:val="ui-provider"/>
                <w:sz w:val="24"/>
                <w:szCs w:val="24"/>
              </w:rPr>
              <w:t>accelerating the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disposal</w:t>
            </w:r>
            <w:r w:rsidR="002E6DE9">
              <w:rPr>
                <w:rStyle w:val="ui-provider"/>
                <w:sz w:val="24"/>
                <w:szCs w:val="24"/>
              </w:rPr>
              <w:t>/demolition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of buildings</w:t>
            </w:r>
            <w:r w:rsidR="005B6FAD">
              <w:rPr>
                <w:rStyle w:val="ui-provider"/>
                <w:sz w:val="24"/>
                <w:szCs w:val="24"/>
              </w:rPr>
              <w:t xml:space="preserve"> in poor condition, </w:t>
            </w:r>
            <w:r w:rsidR="002E6DE9">
              <w:rPr>
                <w:rStyle w:val="ui-provider"/>
                <w:sz w:val="24"/>
                <w:szCs w:val="24"/>
              </w:rPr>
              <w:t>in the short-term the University wished</w:t>
            </w:r>
            <w:r w:rsidR="00C82466" w:rsidRPr="00B34405">
              <w:rPr>
                <w:rStyle w:val="ui-provider"/>
                <w:sz w:val="24"/>
                <w:szCs w:val="24"/>
              </w:rPr>
              <w:t xml:space="preserve"> to avoid </w:t>
            </w:r>
            <w:r w:rsidR="002E6DE9" w:rsidRPr="600D09E7">
              <w:rPr>
                <w:sz w:val="24"/>
                <w:szCs w:val="24"/>
              </w:rPr>
              <w:t xml:space="preserve">non-essential </w:t>
            </w:r>
            <w:r w:rsidR="00C82466" w:rsidRPr="00B34405">
              <w:rPr>
                <w:rStyle w:val="ui-provider"/>
                <w:sz w:val="24"/>
                <w:szCs w:val="24"/>
              </w:rPr>
              <w:t>maintenance spend, particularl</w:t>
            </w:r>
            <w:r w:rsidR="005B6FAD">
              <w:rPr>
                <w:rStyle w:val="ui-provider"/>
                <w:sz w:val="24"/>
                <w:szCs w:val="24"/>
              </w:rPr>
              <w:t xml:space="preserve">y </w:t>
            </w:r>
            <w:r w:rsidR="0099236B">
              <w:rPr>
                <w:rStyle w:val="ui-provider"/>
                <w:sz w:val="24"/>
                <w:szCs w:val="24"/>
              </w:rPr>
              <w:t xml:space="preserve">for </w:t>
            </w:r>
            <w:r w:rsidR="005B6FAD">
              <w:rPr>
                <w:rStyle w:val="ui-provider"/>
                <w:sz w:val="24"/>
                <w:szCs w:val="24"/>
              </w:rPr>
              <w:t xml:space="preserve">those </w:t>
            </w:r>
            <w:r w:rsidR="0099236B">
              <w:rPr>
                <w:rStyle w:val="ui-provider"/>
                <w:sz w:val="24"/>
                <w:szCs w:val="24"/>
              </w:rPr>
              <w:t xml:space="preserve">buildings </w:t>
            </w:r>
            <w:r w:rsidR="005B6FAD">
              <w:rPr>
                <w:rStyle w:val="ui-provider"/>
                <w:sz w:val="24"/>
                <w:szCs w:val="24"/>
              </w:rPr>
              <w:t>earmarked for</w:t>
            </w:r>
            <w:r w:rsidR="002E6DE9">
              <w:rPr>
                <w:rStyle w:val="ui-provider"/>
                <w:sz w:val="24"/>
                <w:szCs w:val="24"/>
              </w:rPr>
              <w:t xml:space="preserve"> disposal. However,</w:t>
            </w:r>
            <w:r w:rsidR="005B6FAD">
              <w:rPr>
                <w:rStyle w:val="ui-provider"/>
                <w:sz w:val="24"/>
                <w:szCs w:val="24"/>
              </w:rPr>
              <w:t xml:space="preserve"> it was noted that</w:t>
            </w:r>
            <w:r w:rsidR="002E6DE9">
              <w:rPr>
                <w:rStyle w:val="ui-provider"/>
                <w:sz w:val="24"/>
                <w:szCs w:val="24"/>
              </w:rPr>
              <w:t xml:space="preserve"> some buildings </w:t>
            </w:r>
            <w:r w:rsidR="005B6FAD">
              <w:rPr>
                <w:rStyle w:val="ui-provider"/>
                <w:sz w:val="24"/>
                <w:szCs w:val="24"/>
              </w:rPr>
              <w:t>would</w:t>
            </w:r>
            <w:r w:rsidR="002E6DE9">
              <w:rPr>
                <w:rStyle w:val="ui-provider"/>
                <w:sz w:val="24"/>
                <w:szCs w:val="24"/>
              </w:rPr>
              <w:t xml:space="preserve"> requir</w:t>
            </w:r>
            <w:r w:rsidR="005B6FAD">
              <w:rPr>
                <w:rStyle w:val="ui-provider"/>
                <w:sz w:val="24"/>
                <w:szCs w:val="24"/>
              </w:rPr>
              <w:t>e some interim investment</w:t>
            </w:r>
            <w:r w:rsidR="002E6DE9">
              <w:rPr>
                <w:rStyle w:val="ui-provider"/>
                <w:sz w:val="24"/>
                <w:szCs w:val="24"/>
              </w:rPr>
              <w:t xml:space="preserve"> to maintain the student experience and staff working conditions. </w:t>
            </w:r>
          </w:p>
          <w:p w14:paraId="37E4C6CB" w14:textId="2F260BD7" w:rsidR="002E6DE9" w:rsidRDefault="005B6FAD" w:rsidP="00490C30">
            <w:pPr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</w:t>
            </w:r>
            <w:r w:rsidR="002E6DE9">
              <w:rPr>
                <w:sz w:val="24"/>
                <w:szCs w:val="24"/>
              </w:rPr>
              <w:t xml:space="preserve">ey areas </w:t>
            </w:r>
            <w:r>
              <w:rPr>
                <w:sz w:val="24"/>
                <w:szCs w:val="24"/>
              </w:rPr>
              <w:t>for further consideration</w:t>
            </w:r>
            <w:r w:rsidR="002E6DE9">
              <w:rPr>
                <w:sz w:val="24"/>
                <w:szCs w:val="24"/>
              </w:rPr>
              <w:t xml:space="preserve"> </w:t>
            </w:r>
            <w:r w:rsidR="00C54F13">
              <w:rPr>
                <w:sz w:val="24"/>
                <w:szCs w:val="24"/>
              </w:rPr>
              <w:t>included</w:t>
            </w:r>
            <w:r w:rsidR="002E6DE9">
              <w:rPr>
                <w:sz w:val="24"/>
                <w:szCs w:val="24"/>
              </w:rPr>
              <w:t>:</w:t>
            </w:r>
          </w:p>
          <w:p w14:paraId="12703485" w14:textId="3A8D28BA" w:rsidR="00C54F13" w:rsidRPr="00C54F13" w:rsidRDefault="00C54F13" w:rsidP="00490C3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sz w:val="24"/>
                <w:szCs w:val="24"/>
              </w:rPr>
            </w:pPr>
            <w:r w:rsidRPr="00C54F13">
              <w:rPr>
                <w:sz w:val="24"/>
                <w:szCs w:val="24"/>
              </w:rPr>
              <w:t>options around the development of a feasible sport and physical activity portfolio</w:t>
            </w:r>
            <w:r w:rsidR="005B6FAD">
              <w:rPr>
                <w:sz w:val="24"/>
                <w:szCs w:val="24"/>
              </w:rPr>
              <w:t>,</w:t>
            </w:r>
            <w:r w:rsidRPr="00C54F13">
              <w:rPr>
                <w:sz w:val="24"/>
                <w:szCs w:val="24"/>
              </w:rPr>
              <w:t xml:space="preserve"> </w:t>
            </w:r>
            <w:r w:rsidR="002E6DE9" w:rsidRPr="00C54F13">
              <w:rPr>
                <w:sz w:val="24"/>
                <w:szCs w:val="24"/>
              </w:rPr>
              <w:t xml:space="preserve">based on </w:t>
            </w:r>
            <w:r w:rsidR="005B6FAD">
              <w:rPr>
                <w:sz w:val="24"/>
                <w:szCs w:val="24"/>
              </w:rPr>
              <w:t xml:space="preserve">the </w:t>
            </w:r>
            <w:r w:rsidR="002E6DE9" w:rsidRPr="00C54F13">
              <w:rPr>
                <w:sz w:val="24"/>
                <w:szCs w:val="24"/>
              </w:rPr>
              <w:t xml:space="preserve">use of wider </w:t>
            </w:r>
            <w:r w:rsidR="005B6FAD">
              <w:rPr>
                <w:sz w:val="24"/>
                <w:szCs w:val="24"/>
              </w:rPr>
              <w:t>Sheffield</w:t>
            </w:r>
            <w:r w:rsidR="002E6DE9" w:rsidRPr="00C54F13">
              <w:rPr>
                <w:sz w:val="24"/>
                <w:szCs w:val="24"/>
              </w:rPr>
              <w:t xml:space="preserve"> facilities </w:t>
            </w:r>
            <w:r w:rsidR="005B6FAD">
              <w:rPr>
                <w:sz w:val="24"/>
                <w:szCs w:val="24"/>
              </w:rPr>
              <w:t>since the Campus Plan did not provide for the development of</w:t>
            </w:r>
            <w:r w:rsidR="005B6FAD" w:rsidRPr="00C54F13">
              <w:rPr>
                <w:sz w:val="24"/>
                <w:szCs w:val="24"/>
              </w:rPr>
              <w:t xml:space="preserve"> new sports facilities at City Campus</w:t>
            </w:r>
            <w:r>
              <w:rPr>
                <w:sz w:val="24"/>
                <w:szCs w:val="24"/>
              </w:rPr>
              <w:t>; and</w:t>
            </w:r>
          </w:p>
          <w:p w14:paraId="150160CB" w14:textId="5CD872F1" w:rsidR="00C82466" w:rsidRPr="00490C30" w:rsidRDefault="007C1BD5" w:rsidP="00490C3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bookmarkEnd w:id="6"/>
      <w:bookmarkEnd w:id="7"/>
      <w:tr w:rsidR="00EE1730" w:rsidRPr="00820AC3" w14:paraId="01E28F43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E9FB327" w14:textId="77777777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2FA8BA82" w14:textId="68C36457" w:rsidR="00EE1730" w:rsidRPr="00820AC3" w:rsidRDefault="00EE1730" w:rsidP="00EE173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Estate Disposals Planning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707D0CF" w14:textId="098D4C4E" w:rsidR="00EE1730" w:rsidRPr="00820AC3" w:rsidRDefault="00EE1730" w:rsidP="00EE1730">
            <w:pPr>
              <w:pStyle w:val="Heading3"/>
              <w:spacing w:before="60" w:after="60"/>
              <w:ind w:left="-113" w:right="-110"/>
              <w:jc w:val="right"/>
            </w:pPr>
            <w:r w:rsidRPr="00820AC3">
              <w:t>FEC/</w:t>
            </w:r>
            <w:r w:rsidR="003372E6">
              <w:t>2023-03-01</w:t>
            </w:r>
            <w:r w:rsidRPr="00820AC3">
              <w:t>/P</w:t>
            </w:r>
            <w:r>
              <w:t>8.2</w:t>
            </w:r>
          </w:p>
        </w:tc>
      </w:tr>
      <w:tr w:rsidR="00EE1730" w:rsidRPr="00820AC3" w14:paraId="1D634155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256104EA" w14:textId="1D84BDEA" w:rsidR="00EE1730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1B59A0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904EF76" w14:textId="1403DF8E" w:rsidR="00490C30" w:rsidRPr="00C82466" w:rsidRDefault="00490C30" w:rsidP="00490C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received an update on p</w:t>
            </w:r>
            <w:r w:rsidR="00C82466" w:rsidRPr="050BA3FE">
              <w:rPr>
                <w:sz w:val="24"/>
                <w:szCs w:val="24"/>
              </w:rPr>
              <w:t>roperty disposals</w:t>
            </w:r>
            <w:r>
              <w:rPr>
                <w:sz w:val="24"/>
                <w:szCs w:val="24"/>
              </w:rPr>
              <w:t xml:space="preserve"> which were</w:t>
            </w:r>
            <w:r w:rsidR="00C82466" w:rsidRPr="050BA3FE">
              <w:rPr>
                <w:sz w:val="24"/>
                <w:szCs w:val="24"/>
              </w:rPr>
              <w:t xml:space="preserve"> critical to financing the Campus Plan, as well as to reduc</w:t>
            </w:r>
            <w:r w:rsidR="00C82466">
              <w:rPr>
                <w:sz w:val="24"/>
                <w:szCs w:val="24"/>
              </w:rPr>
              <w:t>ing</w:t>
            </w:r>
            <w:r w:rsidR="00C82466" w:rsidRPr="050BA3FE">
              <w:rPr>
                <w:sz w:val="24"/>
                <w:szCs w:val="24"/>
              </w:rPr>
              <w:t xml:space="preserve"> long term maintenance costs, greenhouse gas emissions, and to support a more efficient and flexible estate.</w:t>
            </w:r>
            <w:r w:rsidR="00C30EF3">
              <w:rPr>
                <w:sz w:val="24"/>
                <w:szCs w:val="24"/>
              </w:rPr>
              <w:t xml:space="preserve"> It was noted that the ne</w:t>
            </w:r>
            <w:r w:rsidR="00D67F70">
              <w:rPr>
                <w:sz w:val="24"/>
                <w:szCs w:val="24"/>
              </w:rPr>
              <w:t xml:space="preserve">xt steps </w:t>
            </w:r>
            <w:r w:rsidR="00C30EF3">
              <w:rPr>
                <w:sz w:val="24"/>
                <w:szCs w:val="24"/>
              </w:rPr>
              <w:t>involved</w:t>
            </w:r>
            <w:r>
              <w:rPr>
                <w:sz w:val="24"/>
                <w:szCs w:val="24"/>
              </w:rPr>
              <w:t xml:space="preserve"> detailed scenario modelling and planning</w:t>
            </w:r>
            <w:r w:rsidR="00D67F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67F70">
              <w:rPr>
                <w:sz w:val="24"/>
                <w:szCs w:val="24"/>
              </w:rPr>
              <w:t>supported by specialist property advisers,</w:t>
            </w:r>
            <w:r w:rsidR="00D67F70" w:rsidRPr="050BA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the</w:t>
            </w:r>
            <w:r w:rsidR="0099236B">
              <w:rPr>
                <w:sz w:val="24"/>
                <w:szCs w:val="24"/>
              </w:rPr>
              <w:t xml:space="preserve"> potential</w:t>
            </w:r>
            <w:r>
              <w:rPr>
                <w:sz w:val="24"/>
                <w:szCs w:val="24"/>
              </w:rPr>
              <w:t xml:space="preserve"> disposal of </w:t>
            </w:r>
            <w:proofErr w:type="gramStart"/>
            <w:r>
              <w:rPr>
                <w:sz w:val="24"/>
                <w:szCs w:val="24"/>
              </w:rPr>
              <w:t>a</w:t>
            </w:r>
            <w:r w:rsidR="00C82466" w:rsidRPr="050BA3FE">
              <w:rPr>
                <w:sz w:val="24"/>
                <w:szCs w:val="24"/>
              </w:rPr>
              <w:t xml:space="preserve"> number of</w:t>
            </w:r>
            <w:proofErr w:type="gramEnd"/>
            <w:r w:rsidR="00C82466" w:rsidRPr="050BA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identified </w:t>
            </w:r>
            <w:r w:rsidR="00C82466" w:rsidRPr="050BA3FE">
              <w:rPr>
                <w:sz w:val="24"/>
                <w:szCs w:val="24"/>
              </w:rPr>
              <w:t>high value properties</w:t>
            </w:r>
            <w:r w:rsidR="007C1BD5">
              <w:rPr>
                <w:sz w:val="24"/>
                <w:szCs w:val="24"/>
              </w:rPr>
              <w:t>.</w:t>
            </w:r>
            <w:r w:rsidR="004429C3">
              <w:rPr>
                <w:sz w:val="24"/>
                <w:szCs w:val="24"/>
              </w:rPr>
              <w:t xml:space="preserve"> </w:t>
            </w:r>
          </w:p>
        </w:tc>
      </w:tr>
      <w:tr w:rsidR="007C1BD5" w:rsidRPr="00820AC3" w14:paraId="3434AFC6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7940A45C" w14:textId="74A7EB5D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3FEE4E0A" w14:textId="0EFFD54F" w:rsidR="007C1BD5" w:rsidRDefault="007C1BD5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7C1BD5" w:rsidRPr="00820AC3" w14:paraId="6A1EB9C4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4DD0BFEF" w14:textId="0AEC65FC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5C60014C" w14:textId="07A6EDA7" w:rsidR="007C1BD5" w:rsidRDefault="007C1BD5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outcome of this exercise would be </w:t>
            </w:r>
            <w:r w:rsidRPr="050BA3FE">
              <w:rPr>
                <w:sz w:val="24"/>
                <w:szCs w:val="24"/>
              </w:rPr>
              <w:t>report</w:t>
            </w:r>
            <w:r>
              <w:rPr>
                <w:sz w:val="24"/>
                <w:szCs w:val="24"/>
              </w:rPr>
              <w:t>ed</w:t>
            </w:r>
            <w:r w:rsidRPr="050BA3FE">
              <w:rPr>
                <w:sz w:val="24"/>
                <w:szCs w:val="24"/>
              </w:rPr>
              <w:t xml:space="preserve"> back to </w:t>
            </w:r>
            <w:r>
              <w:rPr>
                <w:sz w:val="24"/>
                <w:szCs w:val="24"/>
              </w:rPr>
              <w:t>FEC,</w:t>
            </w:r>
            <w:r w:rsidRPr="050BA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together with</w:t>
            </w:r>
            <w:r w:rsidRPr="050BA3FE">
              <w:rPr>
                <w:sz w:val="24"/>
                <w:szCs w:val="24"/>
              </w:rPr>
              <w:t xml:space="preserve"> key decisions over the period ahead. </w:t>
            </w:r>
          </w:p>
        </w:tc>
      </w:tr>
      <w:tr w:rsidR="007C1BD5" w:rsidRPr="00820AC3" w14:paraId="225D5994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4318522C" w14:textId="3AF53A55" w:rsidR="007C1BD5" w:rsidRDefault="007C1BD5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7152C9E" w14:textId="6A6526A2" w:rsidR="007C1BD5" w:rsidRDefault="007C1BD5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C30EF3" w:rsidRPr="00820AC3" w14:paraId="37353AC3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3FA9A266" w14:textId="77777777" w:rsidR="00C30EF3" w:rsidRDefault="00C30EF3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9C7F600" w14:textId="12ACF7F0" w:rsidR="00C30EF3" w:rsidRDefault="00C30EF3" w:rsidP="00D67F70">
            <w:pPr>
              <w:spacing w:before="60" w:after="60"/>
              <w:rPr>
                <w:sz w:val="24"/>
                <w:szCs w:val="24"/>
              </w:rPr>
            </w:pPr>
            <w:r w:rsidRPr="00C30EF3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Group Director of Infrastructure and Change to report further on disposals planning as appropriate.</w:t>
            </w:r>
          </w:p>
        </w:tc>
      </w:tr>
      <w:tr w:rsidR="00EE1730" w:rsidRPr="00EE70CB" w14:paraId="11417E24" w14:textId="77777777" w:rsidTr="00395C89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7A5E2DE" w14:textId="3617CDE3" w:rsidR="00EE1730" w:rsidRPr="008A753B" w:rsidRDefault="00EE1730" w:rsidP="00EE173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14:paraId="01FD09D0" w14:textId="05016C97" w:rsidR="00EE1730" w:rsidRPr="00EE70CB" w:rsidRDefault="00EE1730" w:rsidP="00EE1730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Estates Development Report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36E15A6" w14:textId="175C1983" w:rsidR="00EE1730" w:rsidRPr="00EE70CB" w:rsidRDefault="00EE1730" w:rsidP="00EE1730">
            <w:pPr>
              <w:pStyle w:val="Heading3"/>
              <w:spacing w:before="60" w:after="60"/>
              <w:ind w:left="-113" w:right="-110"/>
              <w:jc w:val="right"/>
              <w:rPr>
                <w:sz w:val="24"/>
              </w:rPr>
            </w:pPr>
            <w:r>
              <w:t>FEC/</w:t>
            </w:r>
            <w:r w:rsidR="003372E6">
              <w:t>2023-03-01</w:t>
            </w:r>
            <w:r>
              <w:t>/P8.3</w:t>
            </w:r>
          </w:p>
        </w:tc>
      </w:tr>
      <w:tr w:rsidR="001B59A0" w:rsidRPr="00EE70CB" w14:paraId="0E55C953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444FDE95" w14:textId="15167311" w:rsidR="001B59A0" w:rsidRDefault="001B59A0" w:rsidP="001B59A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C1BD5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6E2D852B" w14:textId="77777777" w:rsidR="00022882" w:rsidRPr="00022882" w:rsidRDefault="004429C3" w:rsidP="00022882">
            <w:pPr>
              <w:spacing w:before="60" w:after="60"/>
              <w:rPr>
                <w:sz w:val="24"/>
                <w:szCs w:val="24"/>
              </w:rPr>
            </w:pPr>
            <w:r w:rsidRPr="00022882">
              <w:rPr>
                <w:sz w:val="24"/>
                <w:szCs w:val="24"/>
              </w:rPr>
              <w:t>The Group Director for Infrastructure and Change updated FEC on key estates developments since the previous meeting, including:</w:t>
            </w:r>
            <w:r w:rsidR="00022882" w:rsidRPr="0002288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2F8CD14" w14:textId="3A23101A" w:rsidR="00022882" w:rsidRPr="007A3B61" w:rsidRDefault="00022882" w:rsidP="00022882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advancement of the</w:t>
            </w:r>
            <w:r w:rsidRPr="007A3B6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Howard Street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(Blocks A-D) construction works; despite delays due to the procurement of the concrete cores, the development was still on track to be operational for</w:t>
            </w:r>
            <w:r w:rsidRPr="007A3B61">
              <w:rPr>
                <w:sz w:val="24"/>
                <w:szCs w:val="24"/>
              </w:rPr>
              <w:t xml:space="preserve"> </w:t>
            </w:r>
            <w:proofErr w:type="gramStart"/>
            <w:r w:rsidRPr="007A3B61">
              <w:rPr>
                <w:sz w:val="24"/>
                <w:szCs w:val="24"/>
              </w:rPr>
              <w:t>2024/25</w:t>
            </w:r>
            <w:r>
              <w:rPr>
                <w:sz w:val="24"/>
                <w:szCs w:val="24"/>
              </w:rPr>
              <w:t>;</w:t>
            </w:r>
            <w:proofErr w:type="gramEnd"/>
            <w:r w:rsidRPr="007A3B61">
              <w:rPr>
                <w:sz w:val="24"/>
                <w:szCs w:val="24"/>
              </w:rPr>
              <w:t xml:space="preserve"> </w:t>
            </w:r>
          </w:p>
          <w:p w14:paraId="6DE032C8" w14:textId="77777777" w:rsidR="00022882" w:rsidRPr="005971D7" w:rsidRDefault="00022882" w:rsidP="00022882">
            <w:pPr>
              <w:pStyle w:val="ListParagraph"/>
              <w:numPr>
                <w:ilvl w:val="0"/>
                <w:numId w:val="4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971D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outputs of the 2022 review by the Hallam Alliance Architects to check the current assumptions behind the mapping of key events within the Campus Plan (the ‘tube map’): an updated version of the tube map, together with a table of operational risks and issues to resolve (noting that any strategic risks/issues would be included in more detailed reporting to FEC). An overall project plan with dates, durations and critical path for the entire Campus Plan would also be </w:t>
            </w:r>
            <w:proofErr w:type="gramStart"/>
            <w:r w:rsidRPr="005971D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developed;</w:t>
            </w:r>
            <w:proofErr w:type="gramEnd"/>
          </w:p>
          <w:p w14:paraId="4D091D8A" w14:textId="77777777" w:rsidR="00022882" w:rsidRPr="005971D7" w:rsidRDefault="00022882" w:rsidP="00022882">
            <w:pPr>
              <w:pStyle w:val="ListParagraph"/>
              <w:numPr>
                <w:ilvl w:val="0"/>
                <w:numId w:val="4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971D7">
              <w:rPr>
                <w:sz w:val="24"/>
                <w:szCs w:val="24"/>
              </w:rPr>
              <w:t>ongoing work with the Deputy Vice-Chancellor (Academic) and the Pro Vice-Chancellor, Learning Teaching and Student Success) to closely manage the dependency between the portfolio plan, teaching delivery methods, and infrastructure (space and technology</w:t>
            </w:r>
            <w:proofErr w:type="gramStart"/>
            <w:r w:rsidRPr="005971D7">
              <w:rPr>
                <w:sz w:val="24"/>
                <w:szCs w:val="24"/>
              </w:rPr>
              <w:t>);</w:t>
            </w:r>
            <w:proofErr w:type="gramEnd"/>
          </w:p>
          <w:p w14:paraId="71BF0CC6" w14:textId="77777777" w:rsidR="00022882" w:rsidRPr="00D67F70" w:rsidRDefault="00022882" w:rsidP="00022882">
            <w:pPr>
              <w:pStyle w:val="ListParagraph"/>
              <w:numPr>
                <w:ilvl w:val="0"/>
                <w:numId w:val="4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work</w:t>
            </w:r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to model net zero carbon initiatives and climate action steps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required</w:t>
            </w:r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 relation to campus </w:t>
            </w:r>
            <w:proofErr w:type="gramStart"/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management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;</w:t>
            </w:r>
            <w:proofErr w:type="gramEnd"/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698AD68D" w14:textId="44CDD84F" w:rsidR="00D67F70" w:rsidRPr="00022882" w:rsidRDefault="00022882" w:rsidP="00022882">
            <w:pPr>
              <w:pStyle w:val="ListParagraph"/>
              <w:numPr>
                <w:ilvl w:val="0"/>
                <w:numId w:val="4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second,</w:t>
            </w:r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collaborative work experience programme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run by the Alliance</w:t>
            </w:r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for students across various Natural Built Environment courses, culminating in a series of student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</w:t>
            </w:r>
            <w:r w:rsidRPr="32E34D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led presentations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7F70" w:rsidRPr="00EE70CB" w14:paraId="02729327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786B3C08" w14:textId="25009EC5" w:rsidR="00D67F70" w:rsidRDefault="00022882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C1BD5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025F5E74" w14:textId="77777777" w:rsidR="00C3373F" w:rsidRDefault="00C3373F" w:rsidP="00C3373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risks included:</w:t>
            </w:r>
          </w:p>
          <w:p w14:paraId="7EBE421B" w14:textId="23D7A38A" w:rsidR="00D67F70" w:rsidRDefault="00C3373F" w:rsidP="00C3373F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 w:rsidRPr="00C3373F">
              <w:rPr>
                <w:sz w:val="24"/>
                <w:szCs w:val="24"/>
              </w:rPr>
              <w:t>the continuing impact o</w:t>
            </w:r>
            <w:r w:rsidR="00C30EF3">
              <w:rPr>
                <w:sz w:val="24"/>
                <w:szCs w:val="24"/>
              </w:rPr>
              <w:t>f</w:t>
            </w:r>
            <w:r w:rsidRPr="00C3373F">
              <w:rPr>
                <w:sz w:val="24"/>
                <w:szCs w:val="24"/>
              </w:rPr>
              <w:t xml:space="preserve"> construction cost </w:t>
            </w:r>
            <w:r w:rsidR="00D67F70" w:rsidRPr="00C3373F">
              <w:rPr>
                <w:sz w:val="24"/>
                <w:szCs w:val="24"/>
              </w:rPr>
              <w:t xml:space="preserve">inflation </w:t>
            </w:r>
            <w:r w:rsidRPr="00C3373F">
              <w:rPr>
                <w:sz w:val="24"/>
                <w:szCs w:val="24"/>
              </w:rPr>
              <w:t>on capital projects; detailed work was ongoing with Finance to</w:t>
            </w:r>
            <w:r w:rsidR="00D67F70" w:rsidRPr="00C3373F">
              <w:rPr>
                <w:sz w:val="24"/>
                <w:szCs w:val="24"/>
              </w:rPr>
              <w:t xml:space="preserve"> understand</w:t>
            </w:r>
            <w:r w:rsidRPr="00C3373F">
              <w:rPr>
                <w:sz w:val="24"/>
                <w:szCs w:val="24"/>
              </w:rPr>
              <w:t xml:space="preserve"> the</w:t>
            </w:r>
            <w:r w:rsidR="00D67F70" w:rsidRPr="00C3373F">
              <w:rPr>
                <w:sz w:val="24"/>
                <w:szCs w:val="24"/>
              </w:rPr>
              <w:t xml:space="preserve"> forward modelling of </w:t>
            </w:r>
            <w:r w:rsidR="00C30EF3">
              <w:rPr>
                <w:sz w:val="24"/>
                <w:szCs w:val="24"/>
              </w:rPr>
              <w:t xml:space="preserve">the </w:t>
            </w:r>
            <w:r w:rsidR="00D67F70" w:rsidRPr="00C3373F">
              <w:rPr>
                <w:sz w:val="24"/>
                <w:szCs w:val="24"/>
              </w:rPr>
              <w:t xml:space="preserve">later stages of </w:t>
            </w:r>
            <w:r w:rsidRPr="00C3373F">
              <w:rPr>
                <w:sz w:val="24"/>
                <w:szCs w:val="24"/>
              </w:rPr>
              <w:t xml:space="preserve">the Campus </w:t>
            </w:r>
            <w:r w:rsidR="00D67F70" w:rsidRPr="00C3373F">
              <w:rPr>
                <w:sz w:val="24"/>
                <w:szCs w:val="24"/>
              </w:rPr>
              <w:t>P</w:t>
            </w:r>
            <w:r w:rsidRPr="00C3373F">
              <w:rPr>
                <w:sz w:val="24"/>
                <w:szCs w:val="24"/>
              </w:rPr>
              <w:t>lan</w:t>
            </w:r>
            <w:r>
              <w:rPr>
                <w:sz w:val="24"/>
                <w:szCs w:val="24"/>
              </w:rPr>
              <w:t>; and</w:t>
            </w:r>
          </w:p>
          <w:p w14:paraId="44EAE57C" w14:textId="07FB45E1" w:rsidR="00C3373F" w:rsidRPr="007C1BD5" w:rsidRDefault="007C1BD5" w:rsidP="007C1BD5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D67F70" w:rsidRPr="00EE70CB" w14:paraId="6B45B193" w14:textId="77777777" w:rsidTr="00395C89">
        <w:tc>
          <w:tcPr>
            <w:tcW w:w="1560" w:type="dxa"/>
            <w:tcBorders>
              <w:top w:val="nil"/>
              <w:bottom w:val="nil"/>
            </w:tcBorders>
          </w:tcPr>
          <w:p w14:paraId="2942CF40" w14:textId="1FA9802E" w:rsidR="00D67F70" w:rsidRDefault="00022882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 w:rsidR="007C1BD5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14:paraId="1796A0EA" w14:textId="1D47E4E7" w:rsidR="00D67F70" w:rsidRDefault="00C3373F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queried </w:t>
            </w:r>
            <w:r w:rsidR="00C30EF3">
              <w:rPr>
                <w:sz w:val="24"/>
                <w:szCs w:val="24"/>
              </w:rPr>
              <w:t xml:space="preserve">the varying impact </w:t>
            </w:r>
            <w:r w:rsidR="00D67F70">
              <w:rPr>
                <w:sz w:val="24"/>
                <w:szCs w:val="24"/>
              </w:rPr>
              <w:t>of hybrid work</w:t>
            </w:r>
            <w:r>
              <w:rPr>
                <w:sz w:val="24"/>
                <w:szCs w:val="24"/>
              </w:rPr>
              <w:t>ing</w:t>
            </w:r>
            <w:r w:rsidR="00D67F70">
              <w:rPr>
                <w:sz w:val="24"/>
                <w:szCs w:val="24"/>
              </w:rPr>
              <w:t xml:space="preserve">, virtual learning and capacity of the estate </w:t>
            </w:r>
            <w:r>
              <w:rPr>
                <w:sz w:val="24"/>
                <w:szCs w:val="24"/>
              </w:rPr>
              <w:t>on st</w:t>
            </w:r>
            <w:r w:rsidR="00D67F70">
              <w:rPr>
                <w:sz w:val="24"/>
                <w:szCs w:val="24"/>
              </w:rPr>
              <w:t xml:space="preserve">aff and students. </w:t>
            </w:r>
            <w:r>
              <w:rPr>
                <w:sz w:val="24"/>
                <w:szCs w:val="24"/>
              </w:rPr>
              <w:t xml:space="preserve">It was noted that </w:t>
            </w:r>
            <w:r w:rsidR="00C30EF3">
              <w:rPr>
                <w:sz w:val="24"/>
                <w:szCs w:val="24"/>
              </w:rPr>
              <w:t xml:space="preserve">whilst </w:t>
            </w:r>
            <w:r>
              <w:rPr>
                <w:sz w:val="24"/>
                <w:szCs w:val="24"/>
              </w:rPr>
              <w:t>t</w:t>
            </w:r>
            <w:r w:rsidR="00D67F70">
              <w:rPr>
                <w:sz w:val="24"/>
                <w:szCs w:val="24"/>
              </w:rPr>
              <w:t xml:space="preserve">eaching </w:t>
            </w:r>
            <w:r>
              <w:rPr>
                <w:sz w:val="24"/>
                <w:szCs w:val="24"/>
              </w:rPr>
              <w:t>was</w:t>
            </w:r>
            <w:r w:rsidR="00D67F70">
              <w:rPr>
                <w:sz w:val="24"/>
                <w:szCs w:val="24"/>
              </w:rPr>
              <w:t xml:space="preserve"> a mix of </w:t>
            </w:r>
            <w:r>
              <w:rPr>
                <w:sz w:val="24"/>
                <w:szCs w:val="24"/>
              </w:rPr>
              <w:t>face-to-face</w:t>
            </w:r>
            <w:r w:rsidR="00D67F70">
              <w:rPr>
                <w:sz w:val="24"/>
                <w:szCs w:val="24"/>
              </w:rPr>
              <w:t xml:space="preserve"> and online</w:t>
            </w:r>
            <w:r>
              <w:rPr>
                <w:sz w:val="24"/>
                <w:szCs w:val="24"/>
              </w:rPr>
              <w:t xml:space="preserve">, </w:t>
            </w:r>
            <w:r w:rsidR="00C30EF3">
              <w:rPr>
                <w:sz w:val="24"/>
                <w:szCs w:val="24"/>
              </w:rPr>
              <w:t>s</w:t>
            </w:r>
            <w:r w:rsidR="00D67F70">
              <w:rPr>
                <w:sz w:val="24"/>
                <w:szCs w:val="24"/>
              </w:rPr>
              <w:t xml:space="preserve">tudents may </w:t>
            </w:r>
            <w:r>
              <w:rPr>
                <w:sz w:val="24"/>
                <w:szCs w:val="24"/>
              </w:rPr>
              <w:t>choose</w:t>
            </w:r>
            <w:r w:rsidR="00D67F70">
              <w:rPr>
                <w:sz w:val="24"/>
                <w:szCs w:val="24"/>
              </w:rPr>
              <w:t xml:space="preserve"> to engage with online</w:t>
            </w:r>
            <w:r>
              <w:rPr>
                <w:sz w:val="24"/>
                <w:szCs w:val="24"/>
              </w:rPr>
              <w:t xml:space="preserve"> delivery</w:t>
            </w:r>
            <w:r w:rsidR="00D67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="00D67F70">
              <w:rPr>
                <w:sz w:val="24"/>
                <w:szCs w:val="24"/>
              </w:rPr>
              <w:t xml:space="preserve"> campus </w:t>
            </w:r>
            <w:r>
              <w:rPr>
                <w:sz w:val="24"/>
                <w:szCs w:val="24"/>
              </w:rPr>
              <w:t>which needed to be reflected in space considerations</w:t>
            </w:r>
            <w:r w:rsidR="00D67F70">
              <w:rPr>
                <w:sz w:val="24"/>
                <w:szCs w:val="24"/>
              </w:rPr>
              <w:t>.</w:t>
            </w:r>
            <w:r w:rsidR="00422173">
              <w:rPr>
                <w:sz w:val="24"/>
                <w:szCs w:val="24"/>
              </w:rPr>
              <w:t xml:space="preserve"> </w:t>
            </w:r>
          </w:p>
          <w:p w14:paraId="031582C0" w14:textId="46B98571" w:rsidR="00D67F70" w:rsidRDefault="00422173" w:rsidP="00C30EF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relation to t</w:t>
            </w:r>
            <w:r w:rsidR="00D67F70">
              <w:rPr>
                <w:sz w:val="24"/>
                <w:szCs w:val="24"/>
              </w:rPr>
              <w:t>eaching practice</w:t>
            </w:r>
            <w:r>
              <w:rPr>
                <w:sz w:val="24"/>
                <w:szCs w:val="24"/>
              </w:rPr>
              <w:t xml:space="preserve">, </w:t>
            </w:r>
            <w:r w:rsidR="00C30EF3">
              <w:rPr>
                <w:sz w:val="24"/>
                <w:szCs w:val="24"/>
              </w:rPr>
              <w:t xml:space="preserve">the importance of </w:t>
            </w:r>
            <w:r w:rsidR="00D67F70">
              <w:rPr>
                <w:sz w:val="24"/>
                <w:szCs w:val="24"/>
              </w:rPr>
              <w:t>understand</w:t>
            </w:r>
            <w:r w:rsidR="00C30EF3">
              <w:rPr>
                <w:sz w:val="24"/>
                <w:szCs w:val="24"/>
              </w:rPr>
              <w:t>ing</w:t>
            </w:r>
            <w:r w:rsidR="00D67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what</w:t>
            </w:r>
            <w:r w:rsidR="00D67F70">
              <w:rPr>
                <w:sz w:val="24"/>
                <w:szCs w:val="24"/>
              </w:rPr>
              <w:t xml:space="preserve"> teaching d</w:t>
            </w:r>
            <w:r>
              <w:rPr>
                <w:sz w:val="24"/>
                <w:szCs w:val="24"/>
              </w:rPr>
              <w:t>e</w:t>
            </w:r>
            <w:r w:rsidR="00D67F70">
              <w:rPr>
                <w:sz w:val="24"/>
                <w:szCs w:val="24"/>
              </w:rPr>
              <w:t>livery</w:t>
            </w:r>
            <w:r>
              <w:rPr>
                <w:sz w:val="24"/>
                <w:szCs w:val="24"/>
              </w:rPr>
              <w:t xml:space="preserve"> would </w:t>
            </w:r>
            <w:r w:rsidR="00C30EF3">
              <w:rPr>
                <w:sz w:val="24"/>
                <w:szCs w:val="24"/>
              </w:rPr>
              <w:t xml:space="preserve">ultimately </w:t>
            </w:r>
            <w:r>
              <w:rPr>
                <w:sz w:val="24"/>
                <w:szCs w:val="24"/>
              </w:rPr>
              <w:t xml:space="preserve">look like </w:t>
            </w:r>
            <w:r w:rsidR="00C30EF3">
              <w:rPr>
                <w:sz w:val="24"/>
                <w:szCs w:val="24"/>
              </w:rPr>
              <w:t>alig</w:t>
            </w:r>
            <w:r w:rsidR="00A753C3">
              <w:rPr>
                <w:sz w:val="24"/>
                <w:szCs w:val="24"/>
              </w:rPr>
              <w:t>n</w:t>
            </w:r>
            <w:r w:rsidR="00C30EF3">
              <w:rPr>
                <w:sz w:val="24"/>
                <w:szCs w:val="24"/>
              </w:rPr>
              <w:t>ed to</w:t>
            </w:r>
            <w:r>
              <w:rPr>
                <w:sz w:val="24"/>
                <w:szCs w:val="24"/>
              </w:rPr>
              <w:t xml:space="preserve"> work </w:t>
            </w:r>
            <w:r w:rsidR="00C30EF3">
              <w:rPr>
                <w:sz w:val="24"/>
                <w:szCs w:val="24"/>
              </w:rPr>
              <w:t>on simplifying</w:t>
            </w:r>
            <w:r>
              <w:rPr>
                <w:sz w:val="24"/>
                <w:szCs w:val="24"/>
              </w:rPr>
              <w:t xml:space="preserve"> the curriculum</w:t>
            </w:r>
            <w:r w:rsidR="00A753C3">
              <w:rPr>
                <w:sz w:val="24"/>
                <w:szCs w:val="24"/>
              </w:rPr>
              <w:t xml:space="preserve"> was highlighted</w:t>
            </w:r>
            <w:r>
              <w:rPr>
                <w:sz w:val="24"/>
                <w:szCs w:val="24"/>
              </w:rPr>
              <w:t xml:space="preserve">. </w:t>
            </w:r>
            <w:r w:rsidR="00A753C3">
              <w:rPr>
                <w:sz w:val="24"/>
                <w:szCs w:val="24"/>
              </w:rPr>
              <w:t>It was noted that the current aim of 70% utilisation provided some flexibility to move teaching as necessary.</w:t>
            </w:r>
          </w:p>
        </w:tc>
      </w:tr>
      <w:tr w:rsidR="00D67F70" w:rsidRPr="008A753B" w14:paraId="0764474C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DCEB7F" w14:textId="6338DB8E" w:rsidR="00CA3BD5" w:rsidRPr="007C1BD5" w:rsidRDefault="007C1BD5" w:rsidP="007C1BD5">
            <w:pPr>
              <w:pStyle w:val="Heading3"/>
              <w:spacing w:before="60" w:after="60"/>
              <w:ind w:left="-106" w:right="-108"/>
              <w:rPr>
                <w:szCs w:val="18"/>
              </w:rPr>
            </w:pPr>
            <w:bookmarkStart w:id="9" w:name="_Hlk114509277"/>
            <w:r w:rsidRPr="007C1BD5">
              <w:t>FEC/2023-03-01/9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432F12" w14:textId="6CEC9FE9" w:rsidR="00D67F70" w:rsidRPr="008A753B" w:rsidRDefault="00D67F70" w:rsidP="00D67F70">
            <w:pPr>
              <w:pStyle w:val="Heading2"/>
            </w:pPr>
            <w:r>
              <w:rPr>
                <w:bCs/>
                <w:szCs w:val="24"/>
              </w:rPr>
              <w:t>FINANCIAL MONITORING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718766" w14:textId="70EF1FB3" w:rsidR="00D67F70" w:rsidRPr="00627D42" w:rsidRDefault="00D67F70" w:rsidP="00D67F70">
            <w:pPr>
              <w:pStyle w:val="Heading3"/>
              <w:spacing w:before="60" w:after="60"/>
              <w:ind w:left="-113" w:right="-110"/>
              <w:jc w:val="right"/>
            </w:pPr>
            <w:r>
              <w:t>FEC/2023-03-01/P9</w:t>
            </w:r>
          </w:p>
        </w:tc>
      </w:tr>
      <w:tr w:rsidR="00D67F70" w:rsidRPr="008A753B" w14:paraId="09571198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2D0FF02C" w14:textId="09DEE12E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577D9F5A" w14:textId="125F8847" w:rsidR="00D67F70" w:rsidRPr="008A753B" w:rsidRDefault="00D67F70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 noted the University’s operating deficit position as at Period 6</w:t>
            </w:r>
            <w:r w:rsidR="00A753C3">
              <w:rPr>
                <w:sz w:val="24"/>
                <w:szCs w:val="24"/>
              </w:rPr>
              <w:t xml:space="preserve"> </w:t>
            </w:r>
            <w:r w:rsidR="00A753C3" w:rsidRPr="002F43B9">
              <w:rPr>
                <w:sz w:val="24"/>
                <w:szCs w:val="24"/>
              </w:rPr>
              <w:t xml:space="preserve">(end </w:t>
            </w:r>
            <w:r w:rsidR="00A753C3">
              <w:rPr>
                <w:sz w:val="24"/>
                <w:szCs w:val="24"/>
              </w:rPr>
              <w:t xml:space="preserve">January </w:t>
            </w:r>
            <w:r w:rsidR="00A753C3" w:rsidRPr="002F43B9">
              <w:rPr>
                <w:sz w:val="24"/>
                <w:szCs w:val="24"/>
              </w:rPr>
              <w:t>202</w:t>
            </w:r>
            <w:r w:rsidR="00A753C3">
              <w:rPr>
                <w:sz w:val="24"/>
                <w:szCs w:val="24"/>
              </w:rPr>
              <w:t>3</w:t>
            </w:r>
            <w:r w:rsidR="007C1BD5">
              <w:rPr>
                <w:sz w:val="24"/>
                <w:szCs w:val="24"/>
              </w:rPr>
              <w:t>.</w:t>
            </w:r>
          </w:p>
        </w:tc>
      </w:tr>
      <w:tr w:rsidR="007C1BD5" w:rsidRPr="008A753B" w14:paraId="7A14C73E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317BB112" w14:textId="6C01755F" w:rsidR="007C1BD5" w:rsidRDefault="007C1BD5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7144DE65" w14:textId="5BCDC97B" w:rsidR="007C1BD5" w:rsidRDefault="007C1BD5" w:rsidP="007C1BD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D67F70" w:rsidRPr="008A753B" w14:paraId="42E8C3FC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DA630C" w14:textId="36E9798C" w:rsidR="00D67F70" w:rsidRPr="008A753B" w:rsidRDefault="00D67F70" w:rsidP="00D67F7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FEC/2023-03-01/10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66C7E" w14:textId="000C3104" w:rsidR="00D67F70" w:rsidRPr="008A753B" w:rsidRDefault="00D67F70" w:rsidP="00D67F70">
            <w:pPr>
              <w:pStyle w:val="Heading2"/>
            </w:pPr>
            <w:r>
              <w:rPr>
                <w:bCs/>
                <w:szCs w:val="24"/>
              </w:rPr>
              <w:t>STUDENTS’ UNION (SU) FINANCIAL MONITORING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D1343" w14:textId="3B3EAFDA" w:rsidR="00D67F70" w:rsidRPr="00627D42" w:rsidRDefault="00D67F70" w:rsidP="00D67F70">
            <w:pPr>
              <w:pStyle w:val="Heading3"/>
              <w:spacing w:before="60" w:after="60"/>
              <w:ind w:left="-113" w:right="-110"/>
              <w:jc w:val="right"/>
            </w:pPr>
            <w:r>
              <w:t>FEC/2023-03-01/P10</w:t>
            </w:r>
          </w:p>
        </w:tc>
      </w:tr>
      <w:tr w:rsidR="00D67F70" w:rsidRPr="008A753B" w14:paraId="65C1101B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76B381CC" w14:textId="2805B101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3D92B1FD" w14:textId="7604B735" w:rsidR="00D67F70" w:rsidRPr="00A753C3" w:rsidRDefault="00D67F70" w:rsidP="00A753C3">
            <w:pPr>
              <w:tabs>
                <w:tab w:val="left" w:pos="255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received an update on </w:t>
            </w:r>
            <w:r w:rsidRPr="002F43B9">
              <w:rPr>
                <w:sz w:val="24"/>
                <w:szCs w:val="24"/>
              </w:rPr>
              <w:t xml:space="preserve">the financial performance of </w:t>
            </w:r>
            <w:r w:rsidR="00A753C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SU</w:t>
            </w:r>
            <w:r w:rsidRPr="002F43B9">
              <w:rPr>
                <w:sz w:val="24"/>
                <w:szCs w:val="24"/>
              </w:rPr>
              <w:t xml:space="preserve"> as at period </w:t>
            </w:r>
            <w:r>
              <w:rPr>
                <w:sz w:val="24"/>
                <w:szCs w:val="24"/>
              </w:rPr>
              <w:t xml:space="preserve">6, noting the </w:t>
            </w:r>
            <w:r w:rsidRPr="006F5F2A">
              <w:rPr>
                <w:sz w:val="24"/>
                <w:szCs w:val="24"/>
              </w:rPr>
              <w:t>surplus</w:t>
            </w:r>
            <w:r>
              <w:rPr>
                <w:sz w:val="24"/>
                <w:szCs w:val="24"/>
              </w:rPr>
              <w:t xml:space="preserve"> position</w:t>
            </w:r>
            <w:r w:rsidR="00A753C3">
              <w:rPr>
                <w:sz w:val="24"/>
                <w:szCs w:val="24"/>
              </w:rPr>
              <w:t>, the main contributing factors for which were s</w:t>
            </w:r>
            <w:r w:rsidRPr="007033C4">
              <w:rPr>
                <w:rFonts w:cstheme="minorHAnsi"/>
                <w:sz w:val="24"/>
                <w:szCs w:val="24"/>
              </w:rPr>
              <w:t>taff turnover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A753C3">
              <w:rPr>
                <w:rFonts w:cstheme="minorHAnsi"/>
                <w:sz w:val="24"/>
                <w:szCs w:val="24"/>
              </w:rPr>
              <w:t>delayed</w:t>
            </w:r>
            <w:r w:rsidRPr="007033C4">
              <w:rPr>
                <w:rFonts w:cstheme="minorHAnsi"/>
                <w:sz w:val="24"/>
                <w:szCs w:val="24"/>
              </w:rPr>
              <w:t xml:space="preserve"> staff recruitment</w:t>
            </w:r>
            <w:r>
              <w:rPr>
                <w:rFonts w:cstheme="minorHAnsi"/>
                <w:sz w:val="24"/>
                <w:szCs w:val="24"/>
              </w:rPr>
              <w:t xml:space="preserve"> and</w:t>
            </w:r>
            <w:r w:rsidRPr="007033C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7033C4">
              <w:rPr>
                <w:rFonts w:cstheme="minorHAnsi"/>
                <w:sz w:val="24"/>
                <w:szCs w:val="24"/>
              </w:rPr>
              <w:t>higher commercial surplus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87547C" w14:textId="7FF75EA0" w:rsidR="00D67F70" w:rsidRPr="00FA6439" w:rsidRDefault="00D67F70" w:rsidP="00D67F70">
            <w:pPr>
              <w:tabs>
                <w:tab w:val="left" w:pos="255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discussed the operation of the SU, noting that increasing direct representation </w:t>
            </w:r>
            <w:r w:rsidR="00A753C3">
              <w:rPr>
                <w:sz w:val="24"/>
                <w:szCs w:val="24"/>
              </w:rPr>
              <w:t>within</w:t>
            </w:r>
            <w:r>
              <w:rPr>
                <w:sz w:val="24"/>
                <w:szCs w:val="24"/>
              </w:rPr>
              <w:t xml:space="preserve"> the Colleges was working well. </w:t>
            </w:r>
          </w:p>
        </w:tc>
      </w:tr>
      <w:tr w:rsidR="007C1BD5" w:rsidRPr="008A753B" w14:paraId="6E6865A2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324AB2E6" w14:textId="5B58FD39" w:rsidR="007C1BD5" w:rsidRDefault="007C1BD5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76BDE789" w14:textId="07DA9B14" w:rsidR="007C1BD5" w:rsidRDefault="007C1BD5" w:rsidP="00A753C3">
            <w:pPr>
              <w:tabs>
                <w:tab w:val="left" w:pos="255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bookmarkEnd w:id="9"/>
      <w:tr w:rsidR="00D67F70" w:rsidRPr="008A753B" w14:paraId="0E977793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126510" w14:textId="1ACC270E" w:rsidR="00D67F70" w:rsidRPr="008A753B" w:rsidRDefault="00D67F70" w:rsidP="00D67F7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FEC/2023-03-01/11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BC0E54" w14:textId="386857F4" w:rsidR="00D67F70" w:rsidRPr="00C17300" w:rsidRDefault="00D67F70" w:rsidP="00D67F70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033D">
              <w:rPr>
                <w:rFonts w:ascii="Calibri" w:eastAsiaTheme="majorEastAsia" w:hAnsi="Calibri" w:cstheme="majorBidi"/>
                <w:b/>
                <w:bCs/>
                <w:color w:val="000000" w:themeColor="text1"/>
                <w:sz w:val="24"/>
                <w:szCs w:val="24"/>
              </w:rPr>
              <w:t>INVESTMENTS SUMMARY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E5534" w14:textId="01277B3A" w:rsidR="00D67F70" w:rsidRPr="00627D42" w:rsidRDefault="00D67F70" w:rsidP="00D67F70">
            <w:pPr>
              <w:pStyle w:val="Heading3"/>
              <w:spacing w:before="60" w:after="60"/>
              <w:ind w:left="-113" w:right="-110"/>
              <w:jc w:val="right"/>
            </w:pPr>
            <w:r>
              <w:t>FEC/2023-03-01/P11</w:t>
            </w:r>
          </w:p>
        </w:tc>
      </w:tr>
      <w:tr w:rsidR="00D67F70" w:rsidRPr="008A753B" w14:paraId="757C0333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63D2EC83" w14:textId="613A4284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2DC83A94" w14:textId="6C7AAAA2" w:rsidR="00D67F70" w:rsidRPr="003B54EA" w:rsidRDefault="00D67F70" w:rsidP="00D67F70">
            <w:pPr>
              <w:spacing w:before="60" w:after="60"/>
              <w:rPr>
                <w:sz w:val="24"/>
                <w:szCs w:val="24"/>
              </w:rPr>
            </w:pPr>
            <w:r w:rsidRPr="00A74B87">
              <w:rPr>
                <w:sz w:val="24"/>
                <w:szCs w:val="24"/>
              </w:rPr>
              <w:t xml:space="preserve">FEC </w:t>
            </w:r>
            <w:r>
              <w:rPr>
                <w:sz w:val="24"/>
                <w:szCs w:val="24"/>
              </w:rPr>
              <w:t>received</w:t>
            </w:r>
            <w:r w:rsidRPr="00A74B87">
              <w:rPr>
                <w:sz w:val="24"/>
                <w:szCs w:val="24"/>
              </w:rPr>
              <w:t xml:space="preserve"> the cash investment summary</w:t>
            </w:r>
            <w:r>
              <w:rPr>
                <w:sz w:val="24"/>
                <w:szCs w:val="24"/>
              </w:rPr>
              <w:t>, noting that there were no specific areas of concern</w:t>
            </w:r>
          </w:p>
        </w:tc>
      </w:tr>
      <w:tr w:rsidR="00A753C3" w:rsidRPr="008A753B" w14:paraId="7F10C229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6FEF4DFB" w14:textId="77777777" w:rsidR="00A753C3" w:rsidRDefault="00A753C3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4A8F85E7" w14:textId="6ABFB6F0" w:rsidR="00A753C3" w:rsidRPr="00A74B87" w:rsidRDefault="00A753C3" w:rsidP="00D67F70">
            <w:pPr>
              <w:spacing w:before="60" w:after="60"/>
              <w:rPr>
                <w:sz w:val="24"/>
                <w:szCs w:val="24"/>
              </w:rPr>
            </w:pPr>
            <w:r w:rsidRPr="007C1BD5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CFO to present a paper relating to the University’s Investment Policy to a future meeting of the Committee.</w:t>
            </w:r>
          </w:p>
        </w:tc>
      </w:tr>
      <w:tr w:rsidR="00D67F70" w:rsidRPr="008A753B" w14:paraId="7A14FCFD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2CBF1" w14:textId="6F600C9E" w:rsidR="00D67F70" w:rsidRPr="008A753B" w:rsidRDefault="00D67F70" w:rsidP="00D67F7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FEC/2023-03-01/12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06AA54" w14:textId="237B8085" w:rsidR="00D67F70" w:rsidRPr="008A753B" w:rsidRDefault="00D67F70" w:rsidP="00D67F70">
            <w:pPr>
              <w:pStyle w:val="Heading2"/>
            </w:pPr>
            <w:r>
              <w:t>ANNUAL CYCLE OF BUSINESS 2022/23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120D2" w14:textId="39250236" w:rsidR="00D67F70" w:rsidRPr="00627D42" w:rsidRDefault="00D67F70" w:rsidP="00D67F70">
            <w:pPr>
              <w:pStyle w:val="Heading3"/>
              <w:spacing w:before="60" w:after="60"/>
              <w:ind w:left="-113" w:right="-110"/>
              <w:jc w:val="right"/>
            </w:pPr>
            <w:r>
              <w:t>FEC/2023-03-01/P12</w:t>
            </w:r>
          </w:p>
        </w:tc>
      </w:tr>
      <w:tr w:rsidR="00D67F70" w:rsidRPr="008A753B" w14:paraId="112F0B85" w14:textId="77777777" w:rsidTr="00395C89">
        <w:tc>
          <w:tcPr>
            <w:tcW w:w="1560" w:type="dxa"/>
            <w:tcBorders>
              <w:top w:val="single" w:sz="4" w:space="0" w:color="auto"/>
            </w:tcBorders>
          </w:tcPr>
          <w:p w14:paraId="123A7AE9" w14:textId="29405A00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688A0001" w14:textId="6C39E471" w:rsidR="00D67F70" w:rsidRPr="008A753B" w:rsidRDefault="00D67F70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 received the forward cycle of Committee business for the 2022/3 academic year.</w:t>
            </w:r>
          </w:p>
        </w:tc>
      </w:tr>
      <w:tr w:rsidR="00D67F70" w:rsidRPr="008A753B" w14:paraId="7CC4D9A7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3C1118CA" w:rsidR="00D67F70" w:rsidRPr="00A85DEC" w:rsidRDefault="00D67F70" w:rsidP="00D67F70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FEC/2023-03-01/13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3BAF4769" w:rsidR="00D67F70" w:rsidRPr="00A85DEC" w:rsidRDefault="00D67F70" w:rsidP="00D67F70">
            <w:pPr>
              <w:pStyle w:val="Heading2"/>
              <w:rPr>
                <w:sz w:val="20"/>
                <w:szCs w:val="20"/>
              </w:rPr>
            </w:pPr>
            <w:r w:rsidRPr="00A85DEC">
              <w:t>ANY URGENT BUSINESS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6AD32EA3" w:rsidR="00D67F70" w:rsidRPr="008A753B" w:rsidRDefault="00D67F70" w:rsidP="00D67F70">
            <w:pPr>
              <w:spacing w:before="60" w:after="60"/>
              <w:ind w:right="-109"/>
              <w:jc w:val="right"/>
              <w:rPr>
                <w:sz w:val="24"/>
                <w:szCs w:val="24"/>
              </w:rPr>
            </w:pPr>
          </w:p>
        </w:tc>
      </w:tr>
      <w:tr w:rsidR="00D67F70" w:rsidRPr="008A753B" w14:paraId="730EC16F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60B3838C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5F758" w14:textId="6A91950A" w:rsidR="00D67F70" w:rsidRPr="008A753B" w:rsidRDefault="00D67F70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was no other business. </w:t>
            </w:r>
          </w:p>
        </w:tc>
      </w:tr>
      <w:tr w:rsidR="00D67F70" w:rsidRPr="008A753B" w14:paraId="2CF122DD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55F93" w14:textId="0716356B" w:rsidR="00D67F70" w:rsidRPr="008A753B" w:rsidRDefault="00D67F70" w:rsidP="00D67F70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FEC/2122-09-20/14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467DD" w14:textId="7E90BE89" w:rsidR="00D67F70" w:rsidRPr="008A753B" w:rsidRDefault="00D67F70" w:rsidP="00D67F70">
            <w:pPr>
              <w:pStyle w:val="Heading2"/>
            </w:pPr>
            <w:r w:rsidRPr="008A753B">
              <w:t xml:space="preserve">DATE OF THE NEXT </w:t>
            </w:r>
            <w:r>
              <w:t>M</w:t>
            </w:r>
            <w:r w:rsidRPr="008A753B">
              <w:t>EETING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77777777" w:rsidR="00D67F70" w:rsidRPr="008A753B" w:rsidRDefault="00D67F70" w:rsidP="00D67F70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</w:tr>
      <w:tr w:rsidR="00D67F70" w:rsidRPr="008A753B" w14:paraId="29BAEE99" w14:textId="77777777" w:rsidTr="00395C8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39760BD5" w:rsidR="00D67F70" w:rsidRPr="008A753B" w:rsidRDefault="00D67F70" w:rsidP="00D67F7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4B1EE" w14:textId="16A3FE31" w:rsidR="00D67F70" w:rsidRPr="00903567" w:rsidRDefault="00D67F70" w:rsidP="00D67F70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Wednes</w:t>
            </w:r>
            <w:r w:rsidRPr="00903567">
              <w:rPr>
                <w:color w:val="000000" w:themeColor="text1"/>
                <w:sz w:val="24"/>
                <w:szCs w:val="24"/>
              </w:rPr>
              <w:t xml:space="preserve">day, </w:t>
            </w:r>
            <w:r>
              <w:rPr>
                <w:color w:val="000000" w:themeColor="text1"/>
                <w:sz w:val="24"/>
                <w:szCs w:val="24"/>
              </w:rPr>
              <w:t>3 May</w:t>
            </w:r>
            <w:r w:rsidRPr="00903567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03567">
              <w:rPr>
                <w:color w:val="000000" w:themeColor="text1"/>
                <w:sz w:val="24"/>
                <w:szCs w:val="24"/>
              </w:rPr>
              <w:t>, 15.00-18.0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FB57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30C1" w14:textId="77777777" w:rsidR="00C71E7B" w:rsidRDefault="00C71E7B" w:rsidP="0000042C">
      <w:pPr>
        <w:spacing w:after="0" w:line="240" w:lineRule="auto"/>
      </w:pPr>
      <w:r>
        <w:separator/>
      </w:r>
    </w:p>
  </w:endnote>
  <w:endnote w:type="continuationSeparator" w:id="0">
    <w:p w14:paraId="2AE175AE" w14:textId="77777777" w:rsidR="00C71E7B" w:rsidRDefault="00C71E7B" w:rsidP="0000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0B4C" w14:textId="77777777" w:rsidR="00C71E7B" w:rsidRDefault="00C71E7B" w:rsidP="0000042C">
      <w:pPr>
        <w:spacing w:after="0" w:line="240" w:lineRule="auto"/>
      </w:pPr>
      <w:r>
        <w:separator/>
      </w:r>
    </w:p>
  </w:footnote>
  <w:footnote w:type="continuationSeparator" w:id="0">
    <w:p w14:paraId="00E484B1" w14:textId="77777777" w:rsidR="00C71E7B" w:rsidRDefault="00C71E7B" w:rsidP="0000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835"/>
    </w:tblGrid>
    <w:tr w:rsidR="00FB57BB" w:rsidRPr="00131BC8" w14:paraId="0F6DE17A" w14:textId="77777777" w:rsidTr="00395C89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4C226EE0" w:rsidR="00FB57BB" w:rsidRPr="00131BC8" w:rsidRDefault="008D0F20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FINANCE AND EMPLOYMENT COMMITTEE</w:t>
          </w:r>
        </w:p>
      </w:tc>
      <w:tc>
        <w:tcPr>
          <w:tcW w:w="2835" w:type="dxa"/>
        </w:tcPr>
        <w:p w14:paraId="735B44DE" w14:textId="5E28764B" w:rsidR="00FB57BB" w:rsidRPr="00131BC8" w:rsidRDefault="008D0F20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FEC</w:t>
          </w:r>
          <w:r w:rsidR="00FB57BB" w:rsidRPr="00131BC8">
            <w:rPr>
              <w:b/>
              <w:bCs/>
              <w:sz w:val="24"/>
              <w:szCs w:val="24"/>
            </w:rPr>
            <w:t>/</w:t>
          </w:r>
          <w:r w:rsidR="00A93902">
            <w:rPr>
              <w:b/>
              <w:bCs/>
              <w:sz w:val="24"/>
              <w:szCs w:val="24"/>
            </w:rPr>
            <w:t>2023-03-01</w:t>
          </w:r>
          <w:r w:rsidR="005A7B0B">
            <w:rPr>
              <w:b/>
              <w:bCs/>
              <w:sz w:val="24"/>
              <w:szCs w:val="24"/>
            </w:rPr>
            <w:t>/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 w:rsidTr="00F2576B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1C5A"/>
    <w:multiLevelType w:val="hybridMultilevel"/>
    <w:tmpl w:val="B7A01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C0248A">
      <w:start w:val="1"/>
      <w:numFmt w:val="lowerLetter"/>
      <w:lvlText w:val="%2."/>
      <w:lvlJc w:val="left"/>
      <w:pPr>
        <w:ind w:left="1440" w:hanging="360"/>
      </w:pPr>
    </w:lvl>
    <w:lvl w:ilvl="2" w:tplc="1EAE4A2C">
      <w:start w:val="1"/>
      <w:numFmt w:val="lowerRoman"/>
      <w:lvlText w:val="%3."/>
      <w:lvlJc w:val="right"/>
      <w:pPr>
        <w:ind w:left="2160" w:hanging="180"/>
      </w:pPr>
    </w:lvl>
    <w:lvl w:ilvl="3" w:tplc="F4061F3A">
      <w:start w:val="1"/>
      <w:numFmt w:val="decimal"/>
      <w:lvlText w:val="%4."/>
      <w:lvlJc w:val="left"/>
      <w:pPr>
        <w:ind w:left="2880" w:hanging="360"/>
      </w:pPr>
    </w:lvl>
    <w:lvl w:ilvl="4" w:tplc="4E5C8798">
      <w:start w:val="1"/>
      <w:numFmt w:val="lowerLetter"/>
      <w:lvlText w:val="%5."/>
      <w:lvlJc w:val="left"/>
      <w:pPr>
        <w:ind w:left="3600" w:hanging="360"/>
      </w:pPr>
    </w:lvl>
    <w:lvl w:ilvl="5" w:tplc="3C308D10">
      <w:start w:val="1"/>
      <w:numFmt w:val="lowerRoman"/>
      <w:lvlText w:val="%6."/>
      <w:lvlJc w:val="right"/>
      <w:pPr>
        <w:ind w:left="4320" w:hanging="180"/>
      </w:pPr>
    </w:lvl>
    <w:lvl w:ilvl="6" w:tplc="45620BFE">
      <w:start w:val="1"/>
      <w:numFmt w:val="decimal"/>
      <w:lvlText w:val="%7."/>
      <w:lvlJc w:val="left"/>
      <w:pPr>
        <w:ind w:left="5040" w:hanging="360"/>
      </w:pPr>
    </w:lvl>
    <w:lvl w:ilvl="7" w:tplc="552032FE">
      <w:start w:val="1"/>
      <w:numFmt w:val="lowerLetter"/>
      <w:lvlText w:val="%8."/>
      <w:lvlJc w:val="left"/>
      <w:pPr>
        <w:ind w:left="5760" w:hanging="360"/>
      </w:pPr>
    </w:lvl>
    <w:lvl w:ilvl="8" w:tplc="92F2C4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3CA"/>
    <w:multiLevelType w:val="hybridMultilevel"/>
    <w:tmpl w:val="297E509A"/>
    <w:lvl w:ilvl="0" w:tplc="A630E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35310"/>
    <w:multiLevelType w:val="hybridMultilevel"/>
    <w:tmpl w:val="F072F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75A25"/>
    <w:multiLevelType w:val="hybridMultilevel"/>
    <w:tmpl w:val="FF180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930FD"/>
    <w:multiLevelType w:val="hybridMultilevel"/>
    <w:tmpl w:val="F9C22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A3BAD"/>
    <w:multiLevelType w:val="hybridMultilevel"/>
    <w:tmpl w:val="56AA4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22D66"/>
    <w:multiLevelType w:val="hybridMultilevel"/>
    <w:tmpl w:val="DF5EB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87EBC"/>
    <w:multiLevelType w:val="hybridMultilevel"/>
    <w:tmpl w:val="9C20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E52B8"/>
    <w:multiLevelType w:val="hybridMultilevel"/>
    <w:tmpl w:val="53487E40"/>
    <w:lvl w:ilvl="0" w:tplc="04EE82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508F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FCFF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5AA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063A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8C14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721A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10D8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5444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2B76FE"/>
    <w:multiLevelType w:val="hybridMultilevel"/>
    <w:tmpl w:val="714CC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E0AE8"/>
    <w:multiLevelType w:val="hybridMultilevel"/>
    <w:tmpl w:val="0A862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A421C"/>
    <w:multiLevelType w:val="hybridMultilevel"/>
    <w:tmpl w:val="94748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0012E"/>
    <w:multiLevelType w:val="hybridMultilevel"/>
    <w:tmpl w:val="5A8C3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B12DC"/>
    <w:multiLevelType w:val="hybridMultilevel"/>
    <w:tmpl w:val="EFD2D0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D511C"/>
    <w:multiLevelType w:val="hybridMultilevel"/>
    <w:tmpl w:val="C41C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665A0"/>
    <w:multiLevelType w:val="hybridMultilevel"/>
    <w:tmpl w:val="E63AF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E56CB"/>
    <w:multiLevelType w:val="hybridMultilevel"/>
    <w:tmpl w:val="0A18B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7D3831"/>
    <w:multiLevelType w:val="hybridMultilevel"/>
    <w:tmpl w:val="1FE27DE0"/>
    <w:lvl w:ilvl="0" w:tplc="86863BEE">
      <w:start w:val="1"/>
      <w:numFmt w:val="decimal"/>
      <w:lvlText w:val="%1."/>
      <w:lvlJc w:val="left"/>
      <w:pPr>
        <w:ind w:left="360" w:hanging="360"/>
      </w:pPr>
    </w:lvl>
    <w:lvl w:ilvl="1" w:tplc="9B7EE19C">
      <w:start w:val="1"/>
      <w:numFmt w:val="lowerLetter"/>
      <w:lvlText w:val="%2."/>
      <w:lvlJc w:val="left"/>
      <w:pPr>
        <w:ind w:left="1440" w:hanging="360"/>
      </w:pPr>
    </w:lvl>
    <w:lvl w:ilvl="2" w:tplc="D29A1A2C">
      <w:start w:val="1"/>
      <w:numFmt w:val="lowerRoman"/>
      <w:lvlText w:val="%3."/>
      <w:lvlJc w:val="right"/>
      <w:pPr>
        <w:ind w:left="2160" w:hanging="180"/>
      </w:pPr>
    </w:lvl>
    <w:lvl w:ilvl="3" w:tplc="562C6A52">
      <w:start w:val="1"/>
      <w:numFmt w:val="decimal"/>
      <w:lvlText w:val="%4."/>
      <w:lvlJc w:val="left"/>
      <w:pPr>
        <w:ind w:left="2880" w:hanging="360"/>
      </w:pPr>
    </w:lvl>
    <w:lvl w:ilvl="4" w:tplc="39D40842">
      <w:start w:val="1"/>
      <w:numFmt w:val="lowerLetter"/>
      <w:lvlText w:val="%5."/>
      <w:lvlJc w:val="left"/>
      <w:pPr>
        <w:ind w:left="3600" w:hanging="360"/>
      </w:pPr>
    </w:lvl>
    <w:lvl w:ilvl="5" w:tplc="457AD5CE">
      <w:start w:val="1"/>
      <w:numFmt w:val="lowerRoman"/>
      <w:lvlText w:val="%6."/>
      <w:lvlJc w:val="right"/>
      <w:pPr>
        <w:ind w:left="4320" w:hanging="180"/>
      </w:pPr>
    </w:lvl>
    <w:lvl w:ilvl="6" w:tplc="C21A14B6">
      <w:start w:val="1"/>
      <w:numFmt w:val="decimal"/>
      <w:lvlText w:val="%7."/>
      <w:lvlJc w:val="left"/>
      <w:pPr>
        <w:ind w:left="5040" w:hanging="360"/>
      </w:pPr>
    </w:lvl>
    <w:lvl w:ilvl="7" w:tplc="052EEE8C">
      <w:start w:val="1"/>
      <w:numFmt w:val="lowerLetter"/>
      <w:lvlText w:val="%8."/>
      <w:lvlJc w:val="left"/>
      <w:pPr>
        <w:ind w:left="5760" w:hanging="360"/>
      </w:pPr>
    </w:lvl>
    <w:lvl w:ilvl="8" w:tplc="323E016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0EEC"/>
    <w:multiLevelType w:val="hybridMultilevel"/>
    <w:tmpl w:val="66EA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378C8"/>
    <w:multiLevelType w:val="hybridMultilevel"/>
    <w:tmpl w:val="497CB1EA"/>
    <w:lvl w:ilvl="0" w:tplc="053E751A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50CBF"/>
    <w:multiLevelType w:val="hybridMultilevel"/>
    <w:tmpl w:val="12C68870"/>
    <w:lvl w:ilvl="0" w:tplc="D6CAA2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B3282"/>
    <w:multiLevelType w:val="hybridMultilevel"/>
    <w:tmpl w:val="8EEED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174833"/>
    <w:multiLevelType w:val="hybridMultilevel"/>
    <w:tmpl w:val="A40C0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A5D17"/>
    <w:multiLevelType w:val="hybridMultilevel"/>
    <w:tmpl w:val="EF923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D713B"/>
    <w:multiLevelType w:val="hybridMultilevel"/>
    <w:tmpl w:val="60E80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C46AE"/>
    <w:multiLevelType w:val="hybridMultilevel"/>
    <w:tmpl w:val="B4827E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B1E23"/>
    <w:multiLevelType w:val="hybridMultilevel"/>
    <w:tmpl w:val="90B862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54AC8"/>
    <w:multiLevelType w:val="hybridMultilevel"/>
    <w:tmpl w:val="4658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B61E6"/>
    <w:multiLevelType w:val="hybridMultilevel"/>
    <w:tmpl w:val="E7425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B03F67"/>
    <w:multiLevelType w:val="hybridMultilevel"/>
    <w:tmpl w:val="0BAC1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A6FF4"/>
    <w:multiLevelType w:val="hybridMultilevel"/>
    <w:tmpl w:val="674E86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520D56"/>
    <w:multiLevelType w:val="hybridMultilevel"/>
    <w:tmpl w:val="8738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5030B"/>
    <w:multiLevelType w:val="hybridMultilevel"/>
    <w:tmpl w:val="BBE4B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4553E1"/>
    <w:multiLevelType w:val="hybridMultilevel"/>
    <w:tmpl w:val="2C2E29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45BE5"/>
    <w:multiLevelType w:val="hybridMultilevel"/>
    <w:tmpl w:val="751AD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CC4DDD"/>
    <w:multiLevelType w:val="hybridMultilevel"/>
    <w:tmpl w:val="D7069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216116"/>
    <w:multiLevelType w:val="hybridMultilevel"/>
    <w:tmpl w:val="CE30C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4E3133"/>
    <w:multiLevelType w:val="hybridMultilevel"/>
    <w:tmpl w:val="CA1632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11087"/>
    <w:multiLevelType w:val="hybridMultilevel"/>
    <w:tmpl w:val="9118EAB2"/>
    <w:lvl w:ilvl="0" w:tplc="08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9" w15:restartNumberingAfterBreak="0">
    <w:nsid w:val="781E56EF"/>
    <w:multiLevelType w:val="hybridMultilevel"/>
    <w:tmpl w:val="AEE2A9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045DA"/>
    <w:multiLevelType w:val="hybridMultilevel"/>
    <w:tmpl w:val="1F381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915A5"/>
    <w:multiLevelType w:val="hybridMultilevel"/>
    <w:tmpl w:val="1B8A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94731"/>
    <w:multiLevelType w:val="hybridMultilevel"/>
    <w:tmpl w:val="EF169F04"/>
    <w:lvl w:ilvl="0" w:tplc="95F08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6335"/>
    <w:multiLevelType w:val="hybridMultilevel"/>
    <w:tmpl w:val="5950C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571064">
    <w:abstractNumId w:val="20"/>
  </w:num>
  <w:num w:numId="2" w16cid:durableId="651101269">
    <w:abstractNumId w:val="5"/>
  </w:num>
  <w:num w:numId="3" w16cid:durableId="1481531310">
    <w:abstractNumId w:val="35"/>
  </w:num>
  <w:num w:numId="4" w16cid:durableId="28998734">
    <w:abstractNumId w:val="43"/>
  </w:num>
  <w:num w:numId="5" w16cid:durableId="1454059040">
    <w:abstractNumId w:val="23"/>
  </w:num>
  <w:num w:numId="6" w16cid:durableId="762720840">
    <w:abstractNumId w:val="25"/>
  </w:num>
  <w:num w:numId="7" w16cid:durableId="166675279">
    <w:abstractNumId w:val="32"/>
  </w:num>
  <w:num w:numId="8" w16cid:durableId="1257253120">
    <w:abstractNumId w:val="3"/>
  </w:num>
  <w:num w:numId="9" w16cid:durableId="1413313716">
    <w:abstractNumId w:val="38"/>
  </w:num>
  <w:num w:numId="10" w16cid:durableId="1993288189">
    <w:abstractNumId w:val="18"/>
  </w:num>
  <w:num w:numId="11" w16cid:durableId="443352983">
    <w:abstractNumId w:val="37"/>
  </w:num>
  <w:num w:numId="12" w16cid:durableId="615521285">
    <w:abstractNumId w:val="36"/>
  </w:num>
  <w:num w:numId="13" w16cid:durableId="88428391">
    <w:abstractNumId w:val="10"/>
  </w:num>
  <w:num w:numId="14" w16cid:durableId="1777559475">
    <w:abstractNumId w:val="41"/>
  </w:num>
  <w:num w:numId="15" w16cid:durableId="241722031">
    <w:abstractNumId w:val="27"/>
  </w:num>
  <w:num w:numId="16" w16cid:durableId="237323533">
    <w:abstractNumId w:val="29"/>
  </w:num>
  <w:num w:numId="17" w16cid:durableId="1794404334">
    <w:abstractNumId w:val="19"/>
  </w:num>
  <w:num w:numId="18" w16cid:durableId="309135402">
    <w:abstractNumId w:val="0"/>
  </w:num>
  <w:num w:numId="19" w16cid:durableId="1764761330">
    <w:abstractNumId w:val="34"/>
  </w:num>
  <w:num w:numId="20" w16cid:durableId="297951398">
    <w:abstractNumId w:val="22"/>
  </w:num>
  <w:num w:numId="21" w16cid:durableId="2036693689">
    <w:abstractNumId w:val="11"/>
  </w:num>
  <w:num w:numId="22" w16cid:durableId="171796368">
    <w:abstractNumId w:val="28"/>
  </w:num>
  <w:num w:numId="23" w16cid:durableId="1150172483">
    <w:abstractNumId w:val="8"/>
  </w:num>
  <w:num w:numId="24" w16cid:durableId="1879931319">
    <w:abstractNumId w:val="12"/>
  </w:num>
  <w:num w:numId="25" w16cid:durableId="1833642354">
    <w:abstractNumId w:val="15"/>
  </w:num>
  <w:num w:numId="26" w16cid:durableId="753673858">
    <w:abstractNumId w:val="13"/>
  </w:num>
  <w:num w:numId="27" w16cid:durableId="1589851087">
    <w:abstractNumId w:val="39"/>
  </w:num>
  <w:num w:numId="28" w16cid:durableId="451873337">
    <w:abstractNumId w:val="1"/>
  </w:num>
  <w:num w:numId="29" w16cid:durableId="1333949167">
    <w:abstractNumId w:val="7"/>
  </w:num>
  <w:num w:numId="30" w16cid:durableId="840118485">
    <w:abstractNumId w:val="4"/>
  </w:num>
  <w:num w:numId="31" w16cid:durableId="1237010449">
    <w:abstractNumId w:val="14"/>
  </w:num>
  <w:num w:numId="32" w16cid:durableId="993798401">
    <w:abstractNumId w:val="24"/>
  </w:num>
  <w:num w:numId="33" w16cid:durableId="11100045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2708412">
    <w:abstractNumId w:val="31"/>
  </w:num>
  <w:num w:numId="35" w16cid:durableId="245774005">
    <w:abstractNumId w:val="33"/>
  </w:num>
  <w:num w:numId="36" w16cid:durableId="1071736839">
    <w:abstractNumId w:val="6"/>
  </w:num>
  <w:num w:numId="37" w16cid:durableId="1451245950">
    <w:abstractNumId w:val="26"/>
  </w:num>
  <w:num w:numId="38" w16cid:durableId="812675368">
    <w:abstractNumId w:val="30"/>
  </w:num>
  <w:num w:numId="39" w16cid:durableId="1768965786">
    <w:abstractNumId w:val="21"/>
  </w:num>
  <w:num w:numId="40" w16cid:durableId="992024746">
    <w:abstractNumId w:val="42"/>
  </w:num>
  <w:num w:numId="41" w16cid:durableId="1852143982">
    <w:abstractNumId w:val="16"/>
  </w:num>
  <w:num w:numId="42" w16cid:durableId="410203942">
    <w:abstractNumId w:val="17"/>
  </w:num>
  <w:num w:numId="43" w16cid:durableId="284775282">
    <w:abstractNumId w:val="40"/>
  </w:num>
  <w:num w:numId="44" w16cid:durableId="1361394374">
    <w:abstractNumId w:val="2"/>
  </w:num>
  <w:num w:numId="45" w16cid:durableId="1387726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Pi+no0M+uz09yEG1+Nw0S8YnsqGLvqwFiUu0Jz7fg/ek4qZLDm28yVSB8Dx2OcNQ8LLdI5ph/qRha5b2LSOjQ==" w:salt="QfhNSmCqMNPOCALXfymk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58A"/>
    <w:rsid w:val="00004D0F"/>
    <w:rsid w:val="00010FD6"/>
    <w:rsid w:val="00016934"/>
    <w:rsid w:val="000212D1"/>
    <w:rsid w:val="00021930"/>
    <w:rsid w:val="00022310"/>
    <w:rsid w:val="00022882"/>
    <w:rsid w:val="0002491F"/>
    <w:rsid w:val="00030C39"/>
    <w:rsid w:val="00031FAC"/>
    <w:rsid w:val="000325CC"/>
    <w:rsid w:val="00034317"/>
    <w:rsid w:val="00043BD7"/>
    <w:rsid w:val="00044D67"/>
    <w:rsid w:val="000537F8"/>
    <w:rsid w:val="00060BD9"/>
    <w:rsid w:val="00066A1C"/>
    <w:rsid w:val="00075AE5"/>
    <w:rsid w:val="00084E5C"/>
    <w:rsid w:val="000A3273"/>
    <w:rsid w:val="000A582C"/>
    <w:rsid w:val="000C29D9"/>
    <w:rsid w:val="000C2A74"/>
    <w:rsid w:val="000C39A5"/>
    <w:rsid w:val="000C3E87"/>
    <w:rsid w:val="000C3EDD"/>
    <w:rsid w:val="000C520C"/>
    <w:rsid w:val="000C5DD7"/>
    <w:rsid w:val="000D2C19"/>
    <w:rsid w:val="000D5C69"/>
    <w:rsid w:val="000D5DBD"/>
    <w:rsid w:val="000D79CD"/>
    <w:rsid w:val="000E0F0B"/>
    <w:rsid w:val="000E713A"/>
    <w:rsid w:val="000F66F0"/>
    <w:rsid w:val="00103702"/>
    <w:rsid w:val="00112F05"/>
    <w:rsid w:val="00120657"/>
    <w:rsid w:val="00124F9B"/>
    <w:rsid w:val="001278DA"/>
    <w:rsid w:val="00131BC8"/>
    <w:rsid w:val="001365FD"/>
    <w:rsid w:val="00136855"/>
    <w:rsid w:val="00136B49"/>
    <w:rsid w:val="00137A1E"/>
    <w:rsid w:val="001410E3"/>
    <w:rsid w:val="00145497"/>
    <w:rsid w:val="0015446D"/>
    <w:rsid w:val="0015494E"/>
    <w:rsid w:val="00164593"/>
    <w:rsid w:val="00172CB8"/>
    <w:rsid w:val="00173C6D"/>
    <w:rsid w:val="00182FB3"/>
    <w:rsid w:val="00187913"/>
    <w:rsid w:val="00196781"/>
    <w:rsid w:val="00197053"/>
    <w:rsid w:val="001B5143"/>
    <w:rsid w:val="001B59A0"/>
    <w:rsid w:val="001C6D99"/>
    <w:rsid w:val="001D7879"/>
    <w:rsid w:val="001E11AF"/>
    <w:rsid w:val="001E1E88"/>
    <w:rsid w:val="001E5044"/>
    <w:rsid w:val="001E6829"/>
    <w:rsid w:val="00201C55"/>
    <w:rsid w:val="00204CD9"/>
    <w:rsid w:val="00205499"/>
    <w:rsid w:val="0021033D"/>
    <w:rsid w:val="002123DF"/>
    <w:rsid w:val="00214CE0"/>
    <w:rsid w:val="002161C5"/>
    <w:rsid w:val="00216CD2"/>
    <w:rsid w:val="00241C02"/>
    <w:rsid w:val="002549E6"/>
    <w:rsid w:val="00257A17"/>
    <w:rsid w:val="00261FCC"/>
    <w:rsid w:val="00261FE3"/>
    <w:rsid w:val="0027281E"/>
    <w:rsid w:val="00276249"/>
    <w:rsid w:val="002809E2"/>
    <w:rsid w:val="00282CD0"/>
    <w:rsid w:val="00283879"/>
    <w:rsid w:val="002931CB"/>
    <w:rsid w:val="00295C84"/>
    <w:rsid w:val="0029787F"/>
    <w:rsid w:val="002A0C7D"/>
    <w:rsid w:val="002B1BBD"/>
    <w:rsid w:val="002B46E3"/>
    <w:rsid w:val="002B4928"/>
    <w:rsid w:val="002B5393"/>
    <w:rsid w:val="002B5A77"/>
    <w:rsid w:val="002C55D8"/>
    <w:rsid w:val="002D430D"/>
    <w:rsid w:val="002D5AAF"/>
    <w:rsid w:val="002E560D"/>
    <w:rsid w:val="002E6DE9"/>
    <w:rsid w:val="00306A7C"/>
    <w:rsid w:val="0031313F"/>
    <w:rsid w:val="00315CCD"/>
    <w:rsid w:val="00316B0F"/>
    <w:rsid w:val="003327F1"/>
    <w:rsid w:val="00332D3A"/>
    <w:rsid w:val="003372E6"/>
    <w:rsid w:val="0034256B"/>
    <w:rsid w:val="00343670"/>
    <w:rsid w:val="00344E95"/>
    <w:rsid w:val="00347EC1"/>
    <w:rsid w:val="003545EB"/>
    <w:rsid w:val="0036378C"/>
    <w:rsid w:val="0037008C"/>
    <w:rsid w:val="00371894"/>
    <w:rsid w:val="00371B3D"/>
    <w:rsid w:val="00391F17"/>
    <w:rsid w:val="00392682"/>
    <w:rsid w:val="00392ACB"/>
    <w:rsid w:val="00395C89"/>
    <w:rsid w:val="003A415B"/>
    <w:rsid w:val="003A56C1"/>
    <w:rsid w:val="003B326E"/>
    <w:rsid w:val="003B3402"/>
    <w:rsid w:val="003B54EA"/>
    <w:rsid w:val="003C010B"/>
    <w:rsid w:val="003E0A68"/>
    <w:rsid w:val="003E0A6A"/>
    <w:rsid w:val="003E401C"/>
    <w:rsid w:val="00403916"/>
    <w:rsid w:val="0040584A"/>
    <w:rsid w:val="00406AB3"/>
    <w:rsid w:val="00415939"/>
    <w:rsid w:val="00422173"/>
    <w:rsid w:val="00433ABE"/>
    <w:rsid w:val="00434B22"/>
    <w:rsid w:val="00440551"/>
    <w:rsid w:val="004429C3"/>
    <w:rsid w:val="00445DAF"/>
    <w:rsid w:val="0044606D"/>
    <w:rsid w:val="004548F3"/>
    <w:rsid w:val="00455BAF"/>
    <w:rsid w:val="00455FF2"/>
    <w:rsid w:val="00463F0D"/>
    <w:rsid w:val="00465624"/>
    <w:rsid w:val="00484866"/>
    <w:rsid w:val="0048683D"/>
    <w:rsid w:val="00487C2A"/>
    <w:rsid w:val="00490C30"/>
    <w:rsid w:val="00491741"/>
    <w:rsid w:val="00494783"/>
    <w:rsid w:val="004970A5"/>
    <w:rsid w:val="004979DB"/>
    <w:rsid w:val="004A08B4"/>
    <w:rsid w:val="004A27EA"/>
    <w:rsid w:val="004A6679"/>
    <w:rsid w:val="004A7849"/>
    <w:rsid w:val="004C0CD0"/>
    <w:rsid w:val="004C106C"/>
    <w:rsid w:val="004D2495"/>
    <w:rsid w:val="004D2EA9"/>
    <w:rsid w:val="004D4C70"/>
    <w:rsid w:val="004E00D9"/>
    <w:rsid w:val="004E2BA3"/>
    <w:rsid w:val="004E33DD"/>
    <w:rsid w:val="004E53C5"/>
    <w:rsid w:val="004F342E"/>
    <w:rsid w:val="004F68F2"/>
    <w:rsid w:val="00504892"/>
    <w:rsid w:val="0051169D"/>
    <w:rsid w:val="00516F5C"/>
    <w:rsid w:val="00531BEA"/>
    <w:rsid w:val="00532D9B"/>
    <w:rsid w:val="005347AF"/>
    <w:rsid w:val="00537DAD"/>
    <w:rsid w:val="00554B2B"/>
    <w:rsid w:val="005566E3"/>
    <w:rsid w:val="0056314E"/>
    <w:rsid w:val="0056628D"/>
    <w:rsid w:val="00576088"/>
    <w:rsid w:val="005900C1"/>
    <w:rsid w:val="00592026"/>
    <w:rsid w:val="005950C6"/>
    <w:rsid w:val="005971D7"/>
    <w:rsid w:val="005A7B0B"/>
    <w:rsid w:val="005B18E3"/>
    <w:rsid w:val="005B5506"/>
    <w:rsid w:val="005B6FAD"/>
    <w:rsid w:val="005C01EB"/>
    <w:rsid w:val="005C6A3E"/>
    <w:rsid w:val="005E281D"/>
    <w:rsid w:val="005E56A9"/>
    <w:rsid w:val="005F0DC5"/>
    <w:rsid w:val="005F6772"/>
    <w:rsid w:val="0060241C"/>
    <w:rsid w:val="006026A1"/>
    <w:rsid w:val="00602979"/>
    <w:rsid w:val="0060380B"/>
    <w:rsid w:val="006107F8"/>
    <w:rsid w:val="00611779"/>
    <w:rsid w:val="00611B5C"/>
    <w:rsid w:val="0062075E"/>
    <w:rsid w:val="0062216C"/>
    <w:rsid w:val="0062295B"/>
    <w:rsid w:val="00623AC3"/>
    <w:rsid w:val="00623C7A"/>
    <w:rsid w:val="00624356"/>
    <w:rsid w:val="00626035"/>
    <w:rsid w:val="0062674E"/>
    <w:rsid w:val="00627D42"/>
    <w:rsid w:val="0063230E"/>
    <w:rsid w:val="006326F5"/>
    <w:rsid w:val="006536AF"/>
    <w:rsid w:val="00677BDB"/>
    <w:rsid w:val="00682957"/>
    <w:rsid w:val="00690C75"/>
    <w:rsid w:val="00692B5E"/>
    <w:rsid w:val="006A412D"/>
    <w:rsid w:val="006B2F18"/>
    <w:rsid w:val="006B5046"/>
    <w:rsid w:val="006B55E9"/>
    <w:rsid w:val="006C0F70"/>
    <w:rsid w:val="006C156A"/>
    <w:rsid w:val="006C3C28"/>
    <w:rsid w:val="006D15E0"/>
    <w:rsid w:val="006D3537"/>
    <w:rsid w:val="006E4C47"/>
    <w:rsid w:val="006E611B"/>
    <w:rsid w:val="006F5F2A"/>
    <w:rsid w:val="006F618D"/>
    <w:rsid w:val="006F6AA9"/>
    <w:rsid w:val="0070537D"/>
    <w:rsid w:val="0071211E"/>
    <w:rsid w:val="00722301"/>
    <w:rsid w:val="00724664"/>
    <w:rsid w:val="00725E72"/>
    <w:rsid w:val="00734473"/>
    <w:rsid w:val="00752134"/>
    <w:rsid w:val="007600EE"/>
    <w:rsid w:val="0076636B"/>
    <w:rsid w:val="007804E9"/>
    <w:rsid w:val="00783784"/>
    <w:rsid w:val="00792353"/>
    <w:rsid w:val="00795F71"/>
    <w:rsid w:val="007A20BE"/>
    <w:rsid w:val="007A3B61"/>
    <w:rsid w:val="007A4273"/>
    <w:rsid w:val="007B5D6D"/>
    <w:rsid w:val="007B63DA"/>
    <w:rsid w:val="007C1BD5"/>
    <w:rsid w:val="007C2528"/>
    <w:rsid w:val="007C32C8"/>
    <w:rsid w:val="007C4AF1"/>
    <w:rsid w:val="007D6D63"/>
    <w:rsid w:val="007E6B43"/>
    <w:rsid w:val="007E6D97"/>
    <w:rsid w:val="007F2642"/>
    <w:rsid w:val="007F66C1"/>
    <w:rsid w:val="00803CA8"/>
    <w:rsid w:val="00805392"/>
    <w:rsid w:val="00806B34"/>
    <w:rsid w:val="00810722"/>
    <w:rsid w:val="00820AC3"/>
    <w:rsid w:val="00820CBE"/>
    <w:rsid w:val="00826269"/>
    <w:rsid w:val="00831B45"/>
    <w:rsid w:val="008408EE"/>
    <w:rsid w:val="00842C69"/>
    <w:rsid w:val="00853CE0"/>
    <w:rsid w:val="0085797E"/>
    <w:rsid w:val="00860C05"/>
    <w:rsid w:val="00864B29"/>
    <w:rsid w:val="00877AD9"/>
    <w:rsid w:val="00881FD9"/>
    <w:rsid w:val="00893021"/>
    <w:rsid w:val="008A3D39"/>
    <w:rsid w:val="008A753B"/>
    <w:rsid w:val="008A75E7"/>
    <w:rsid w:val="008B11FC"/>
    <w:rsid w:val="008B12DE"/>
    <w:rsid w:val="008B3E3D"/>
    <w:rsid w:val="008D0F20"/>
    <w:rsid w:val="008D3EC3"/>
    <w:rsid w:val="008D645C"/>
    <w:rsid w:val="008E34A8"/>
    <w:rsid w:val="008F2E0C"/>
    <w:rsid w:val="008F6B4E"/>
    <w:rsid w:val="00901BE8"/>
    <w:rsid w:val="00903567"/>
    <w:rsid w:val="00903E7C"/>
    <w:rsid w:val="009040FA"/>
    <w:rsid w:val="00904315"/>
    <w:rsid w:val="00913B7D"/>
    <w:rsid w:val="0092394D"/>
    <w:rsid w:val="00926626"/>
    <w:rsid w:val="00932A4E"/>
    <w:rsid w:val="00940F40"/>
    <w:rsid w:val="00943440"/>
    <w:rsid w:val="00952491"/>
    <w:rsid w:val="009765FA"/>
    <w:rsid w:val="009810F4"/>
    <w:rsid w:val="0098736B"/>
    <w:rsid w:val="00990903"/>
    <w:rsid w:val="0099236B"/>
    <w:rsid w:val="009928D8"/>
    <w:rsid w:val="00993B93"/>
    <w:rsid w:val="00997E56"/>
    <w:rsid w:val="009A018B"/>
    <w:rsid w:val="009A6CD4"/>
    <w:rsid w:val="009B3443"/>
    <w:rsid w:val="009B3F9C"/>
    <w:rsid w:val="009B4D5B"/>
    <w:rsid w:val="009B7295"/>
    <w:rsid w:val="009C5532"/>
    <w:rsid w:val="009D255E"/>
    <w:rsid w:val="009D43F4"/>
    <w:rsid w:val="009D5065"/>
    <w:rsid w:val="009F2503"/>
    <w:rsid w:val="00A01578"/>
    <w:rsid w:val="00A13661"/>
    <w:rsid w:val="00A14DA0"/>
    <w:rsid w:val="00A21731"/>
    <w:rsid w:val="00A26A10"/>
    <w:rsid w:val="00A364D8"/>
    <w:rsid w:val="00A400F0"/>
    <w:rsid w:val="00A51372"/>
    <w:rsid w:val="00A60C4C"/>
    <w:rsid w:val="00A6331C"/>
    <w:rsid w:val="00A71EDF"/>
    <w:rsid w:val="00A74B87"/>
    <w:rsid w:val="00A753C3"/>
    <w:rsid w:val="00A84615"/>
    <w:rsid w:val="00A85DEC"/>
    <w:rsid w:val="00A862E9"/>
    <w:rsid w:val="00A90C13"/>
    <w:rsid w:val="00A927FF"/>
    <w:rsid w:val="00A93902"/>
    <w:rsid w:val="00AA5CCD"/>
    <w:rsid w:val="00AA66D6"/>
    <w:rsid w:val="00AA6DE3"/>
    <w:rsid w:val="00AD5546"/>
    <w:rsid w:val="00AF3CB4"/>
    <w:rsid w:val="00AF5C80"/>
    <w:rsid w:val="00B025C5"/>
    <w:rsid w:val="00B06C4D"/>
    <w:rsid w:val="00B074DE"/>
    <w:rsid w:val="00B10438"/>
    <w:rsid w:val="00B15A25"/>
    <w:rsid w:val="00B2311F"/>
    <w:rsid w:val="00B267C2"/>
    <w:rsid w:val="00B416AE"/>
    <w:rsid w:val="00B449AA"/>
    <w:rsid w:val="00B466B1"/>
    <w:rsid w:val="00B47C9B"/>
    <w:rsid w:val="00B51DAB"/>
    <w:rsid w:val="00B570DD"/>
    <w:rsid w:val="00B60380"/>
    <w:rsid w:val="00B649B6"/>
    <w:rsid w:val="00B7284B"/>
    <w:rsid w:val="00B84B12"/>
    <w:rsid w:val="00B91E7E"/>
    <w:rsid w:val="00BB2849"/>
    <w:rsid w:val="00BD2604"/>
    <w:rsid w:val="00BD4FB5"/>
    <w:rsid w:val="00BE26FD"/>
    <w:rsid w:val="00BF341E"/>
    <w:rsid w:val="00BF3AB9"/>
    <w:rsid w:val="00BF6B68"/>
    <w:rsid w:val="00BF7F73"/>
    <w:rsid w:val="00C0616B"/>
    <w:rsid w:val="00C17300"/>
    <w:rsid w:val="00C214B7"/>
    <w:rsid w:val="00C21C18"/>
    <w:rsid w:val="00C30EF3"/>
    <w:rsid w:val="00C32565"/>
    <w:rsid w:val="00C3373F"/>
    <w:rsid w:val="00C4231C"/>
    <w:rsid w:val="00C45255"/>
    <w:rsid w:val="00C525F8"/>
    <w:rsid w:val="00C54F13"/>
    <w:rsid w:val="00C54F81"/>
    <w:rsid w:val="00C55E22"/>
    <w:rsid w:val="00C66E1B"/>
    <w:rsid w:val="00C71E7B"/>
    <w:rsid w:val="00C71EB6"/>
    <w:rsid w:val="00C7530F"/>
    <w:rsid w:val="00C816E4"/>
    <w:rsid w:val="00C82466"/>
    <w:rsid w:val="00C86D8C"/>
    <w:rsid w:val="00C9371B"/>
    <w:rsid w:val="00C96C94"/>
    <w:rsid w:val="00CA3BD5"/>
    <w:rsid w:val="00CA7401"/>
    <w:rsid w:val="00CB35C2"/>
    <w:rsid w:val="00CC16EB"/>
    <w:rsid w:val="00CC2073"/>
    <w:rsid w:val="00CC26CA"/>
    <w:rsid w:val="00CC2E7F"/>
    <w:rsid w:val="00CD123E"/>
    <w:rsid w:val="00CD3020"/>
    <w:rsid w:val="00CE416E"/>
    <w:rsid w:val="00CE4358"/>
    <w:rsid w:val="00CE6089"/>
    <w:rsid w:val="00CF367D"/>
    <w:rsid w:val="00CF5DEE"/>
    <w:rsid w:val="00D03829"/>
    <w:rsid w:val="00D04FD7"/>
    <w:rsid w:val="00D076A6"/>
    <w:rsid w:val="00D1185E"/>
    <w:rsid w:val="00D2303B"/>
    <w:rsid w:val="00D40EE9"/>
    <w:rsid w:val="00D44E55"/>
    <w:rsid w:val="00D52F01"/>
    <w:rsid w:val="00D566F2"/>
    <w:rsid w:val="00D57DDA"/>
    <w:rsid w:val="00D6506F"/>
    <w:rsid w:val="00D67F70"/>
    <w:rsid w:val="00D825AD"/>
    <w:rsid w:val="00D84879"/>
    <w:rsid w:val="00D90636"/>
    <w:rsid w:val="00D92435"/>
    <w:rsid w:val="00D97322"/>
    <w:rsid w:val="00DA081D"/>
    <w:rsid w:val="00DA2EE9"/>
    <w:rsid w:val="00DB4D60"/>
    <w:rsid w:val="00DC094F"/>
    <w:rsid w:val="00DC281C"/>
    <w:rsid w:val="00DC7A14"/>
    <w:rsid w:val="00DD0E89"/>
    <w:rsid w:val="00DD4156"/>
    <w:rsid w:val="00DE3C08"/>
    <w:rsid w:val="00DF13B7"/>
    <w:rsid w:val="00DF2730"/>
    <w:rsid w:val="00DF6AFA"/>
    <w:rsid w:val="00E0367A"/>
    <w:rsid w:val="00E06958"/>
    <w:rsid w:val="00E07809"/>
    <w:rsid w:val="00E156AE"/>
    <w:rsid w:val="00E177BE"/>
    <w:rsid w:val="00E17827"/>
    <w:rsid w:val="00E201A6"/>
    <w:rsid w:val="00E25656"/>
    <w:rsid w:val="00E27DCC"/>
    <w:rsid w:val="00E356AC"/>
    <w:rsid w:val="00E36CFC"/>
    <w:rsid w:val="00E404EE"/>
    <w:rsid w:val="00E43B28"/>
    <w:rsid w:val="00E45A0B"/>
    <w:rsid w:val="00E54F8C"/>
    <w:rsid w:val="00E641F5"/>
    <w:rsid w:val="00E670DE"/>
    <w:rsid w:val="00E67945"/>
    <w:rsid w:val="00E74748"/>
    <w:rsid w:val="00E760A6"/>
    <w:rsid w:val="00E93602"/>
    <w:rsid w:val="00E94B92"/>
    <w:rsid w:val="00E969F7"/>
    <w:rsid w:val="00EA6F7E"/>
    <w:rsid w:val="00EB50F7"/>
    <w:rsid w:val="00EB57D7"/>
    <w:rsid w:val="00EC557E"/>
    <w:rsid w:val="00ED3660"/>
    <w:rsid w:val="00ED7B01"/>
    <w:rsid w:val="00EE1730"/>
    <w:rsid w:val="00EE6ACB"/>
    <w:rsid w:val="00EE70CB"/>
    <w:rsid w:val="00EE75BB"/>
    <w:rsid w:val="00EF56C5"/>
    <w:rsid w:val="00F10EE8"/>
    <w:rsid w:val="00F15E29"/>
    <w:rsid w:val="00F164DD"/>
    <w:rsid w:val="00F2054D"/>
    <w:rsid w:val="00F22A0B"/>
    <w:rsid w:val="00F25100"/>
    <w:rsid w:val="00F2576B"/>
    <w:rsid w:val="00F30CAB"/>
    <w:rsid w:val="00F37EE9"/>
    <w:rsid w:val="00F46CD8"/>
    <w:rsid w:val="00F50B19"/>
    <w:rsid w:val="00F5129B"/>
    <w:rsid w:val="00F5612E"/>
    <w:rsid w:val="00F71564"/>
    <w:rsid w:val="00F774B9"/>
    <w:rsid w:val="00F94F5A"/>
    <w:rsid w:val="00F953B6"/>
    <w:rsid w:val="00FA2AEE"/>
    <w:rsid w:val="00FA6439"/>
    <w:rsid w:val="00FA791D"/>
    <w:rsid w:val="00FB365B"/>
    <w:rsid w:val="00FB57BB"/>
    <w:rsid w:val="00FC4020"/>
    <w:rsid w:val="00FC77CE"/>
    <w:rsid w:val="00FD4D2E"/>
    <w:rsid w:val="00FD4F0A"/>
    <w:rsid w:val="00FD6D2F"/>
    <w:rsid w:val="00FD6F7D"/>
    <w:rsid w:val="00FE4FDA"/>
    <w:rsid w:val="00FF4B36"/>
    <w:rsid w:val="00FF68E1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9890C4E4-1783-49C5-8655-2A1BC95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67"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1E11AF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02491F"/>
  </w:style>
  <w:style w:type="paragraph" w:customStyle="1" w:styleId="TableParagraph">
    <w:name w:val="Table Paragraph"/>
    <w:basedOn w:val="Normal"/>
    <w:uiPriority w:val="1"/>
    <w:qFormat/>
    <w:rsid w:val="00403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1693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47C9B"/>
  </w:style>
  <w:style w:type="character" w:customStyle="1" w:styleId="ui-provider">
    <w:name w:val="ui-provider"/>
    <w:basedOn w:val="DefaultParagraphFont"/>
    <w:rsid w:val="00C82466"/>
  </w:style>
  <w:style w:type="paragraph" w:styleId="Revision">
    <w:name w:val="Revision"/>
    <w:hidden/>
    <w:uiPriority w:val="99"/>
    <w:semiHidden/>
    <w:rsid w:val="009B4D5B"/>
    <w:pPr>
      <w:spacing w:after="0" w:line="240" w:lineRule="auto"/>
    </w:pPr>
  </w:style>
  <w:style w:type="paragraph" w:customStyle="1" w:styleId="pf0">
    <w:name w:val="pf0"/>
    <w:basedOn w:val="Normal"/>
    <w:rsid w:val="00D5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52F0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3362</Words>
  <Characters>19167</Characters>
  <Application>Microsoft Office Word</Application>
  <DocSecurity>8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9</cp:revision>
  <cp:lastPrinted>2020-02-14T13:30:00Z</cp:lastPrinted>
  <dcterms:created xsi:type="dcterms:W3CDTF">2023-03-22T08:15:00Z</dcterms:created>
  <dcterms:modified xsi:type="dcterms:W3CDTF">2023-05-23T11:28:00Z</dcterms:modified>
  <cp:contentStatus/>
</cp:coreProperties>
</file>