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278"/>
        <w:gridCol w:w="2657"/>
        <w:gridCol w:w="2585"/>
        <w:gridCol w:w="709"/>
        <w:gridCol w:w="1559"/>
      </w:tblGrid>
      <w:tr w:rsidR="00AA5CCD" w:rsidRPr="00AA5CCD" w14:paraId="2A4DDC6B" w14:textId="77777777" w:rsidTr="009D4B4B">
        <w:tc>
          <w:tcPr>
            <w:tcW w:w="9639" w:type="dxa"/>
            <w:gridSpan w:val="6"/>
            <w:shd w:val="clear" w:color="auto" w:fill="auto"/>
          </w:tcPr>
          <w:p w14:paraId="08406ACC" w14:textId="73C57A82" w:rsidR="0000042C" w:rsidRPr="00AA5CCD" w:rsidRDefault="00B174A4" w:rsidP="009D4B4B">
            <w:pPr>
              <w:spacing w:before="120" w:after="120"/>
              <w:rPr>
                <w:b/>
                <w:bCs/>
                <w:color w:val="621B40"/>
              </w:rPr>
            </w:pPr>
            <w:r>
              <w:rPr>
                <w:b/>
                <w:bCs/>
                <w:color w:val="621B40"/>
              </w:rPr>
              <w:t xml:space="preserve">CONFIRMED </w:t>
            </w:r>
            <w:r w:rsidR="005566E3" w:rsidRPr="32F83E06">
              <w:rPr>
                <w:b/>
                <w:bCs/>
                <w:color w:val="621B40"/>
              </w:rPr>
              <w:t xml:space="preserve">MINUTES OF THE MEETING HELD ON </w:t>
            </w:r>
            <w:r w:rsidR="006348E4">
              <w:rPr>
                <w:b/>
                <w:bCs/>
                <w:color w:val="621B40"/>
              </w:rPr>
              <w:t>20 JUNE</w:t>
            </w:r>
            <w:r w:rsidR="00CB4937">
              <w:rPr>
                <w:b/>
                <w:bCs/>
                <w:color w:val="621B40"/>
              </w:rPr>
              <w:t xml:space="preserve"> 2022</w:t>
            </w:r>
          </w:p>
        </w:tc>
      </w:tr>
      <w:tr w:rsidR="00C3468A" w14:paraId="648655F8" w14:textId="77777777" w:rsidTr="009D4B4B">
        <w:tc>
          <w:tcPr>
            <w:tcW w:w="9639" w:type="dxa"/>
            <w:gridSpan w:val="6"/>
            <w:tcBorders>
              <w:bottom w:val="single" w:sz="4" w:space="0" w:color="auto"/>
            </w:tcBorders>
          </w:tcPr>
          <w:p w14:paraId="6265554D" w14:textId="0E9E0CA0" w:rsidR="00C3468A" w:rsidRDefault="00C3468A" w:rsidP="009D4B4B">
            <w:pPr>
              <w:spacing w:before="60" w:after="60"/>
            </w:pPr>
            <w:r>
              <w:rPr>
                <w:color w:val="621B40"/>
              </w:rPr>
              <w:t xml:space="preserve">PRESENT (via </w:t>
            </w:r>
            <w:r w:rsidR="00376973">
              <w:rPr>
                <w:color w:val="621B40"/>
              </w:rPr>
              <w:t>Zoom</w:t>
            </w:r>
            <w:r>
              <w:rPr>
                <w:color w:val="621B40"/>
              </w:rPr>
              <w:t>):</w:t>
            </w:r>
          </w:p>
        </w:tc>
      </w:tr>
      <w:tr w:rsidR="002809E2" w14:paraId="55D3FC8D" w14:textId="77777777" w:rsidTr="009D4B4B">
        <w:tc>
          <w:tcPr>
            <w:tcW w:w="4786" w:type="dxa"/>
            <w:gridSpan w:val="3"/>
            <w:tcBorders>
              <w:top w:val="single" w:sz="4" w:space="0" w:color="auto"/>
              <w:bottom w:val="single" w:sz="4" w:space="0" w:color="auto"/>
            </w:tcBorders>
          </w:tcPr>
          <w:p w14:paraId="367E184F" w14:textId="37C8D665" w:rsidR="003B53F5" w:rsidRDefault="00CA7351" w:rsidP="009D4B4B">
            <w:pPr>
              <w:spacing w:before="60" w:after="60"/>
            </w:pPr>
            <w:r w:rsidRPr="002070F9">
              <w:t>Meg Munn</w:t>
            </w:r>
            <w:r>
              <w:t xml:space="preserve"> </w:t>
            </w:r>
            <w:r w:rsidR="00BE7304">
              <w:t>(Chair)</w:t>
            </w:r>
            <w:r w:rsidR="003B53F5">
              <w:t xml:space="preserve"> </w:t>
            </w:r>
          </w:p>
          <w:p w14:paraId="2191421A" w14:textId="64CB379F" w:rsidR="00BE7304" w:rsidRDefault="003B53F5" w:rsidP="009D4B4B">
            <w:pPr>
              <w:spacing w:before="60" w:after="60"/>
            </w:pPr>
            <w:r>
              <w:t xml:space="preserve">Gabrielle Berring </w:t>
            </w:r>
          </w:p>
          <w:p w14:paraId="6321C2D3" w14:textId="4EC42347" w:rsidR="005C5AA9" w:rsidRDefault="005C5AA9" w:rsidP="009D4B4B">
            <w:pPr>
              <w:spacing w:before="60" w:after="60"/>
            </w:pPr>
            <w:r>
              <w:t>John Cowling</w:t>
            </w:r>
          </w:p>
          <w:p w14:paraId="3D959F2F" w14:textId="0A6A7537" w:rsidR="003D2258" w:rsidRDefault="003D2258" w:rsidP="003D2FE4">
            <w:pPr>
              <w:spacing w:before="60" w:after="60"/>
            </w:pPr>
            <w:r>
              <w:t xml:space="preserve">Katy Gaunt </w:t>
            </w:r>
          </w:p>
        </w:tc>
        <w:tc>
          <w:tcPr>
            <w:tcW w:w="4853" w:type="dxa"/>
            <w:gridSpan w:val="3"/>
            <w:tcBorders>
              <w:top w:val="single" w:sz="4" w:space="0" w:color="auto"/>
              <w:left w:val="nil"/>
              <w:bottom w:val="single" w:sz="4" w:space="0" w:color="auto"/>
            </w:tcBorders>
          </w:tcPr>
          <w:p w14:paraId="477C088E" w14:textId="77777777" w:rsidR="003D2258" w:rsidRDefault="003D2258" w:rsidP="009D4B4B">
            <w:pPr>
              <w:spacing w:before="60" w:after="60"/>
            </w:pPr>
            <w:r>
              <w:t xml:space="preserve">Professor Chris Husbands, Vice-Chancellor </w:t>
            </w:r>
          </w:p>
          <w:p w14:paraId="5958B0A3" w14:textId="7B82DFFF" w:rsidR="00CA7351" w:rsidRDefault="00CA7351" w:rsidP="009D4B4B">
            <w:pPr>
              <w:spacing w:before="60" w:after="60"/>
            </w:pPr>
            <w:r w:rsidRPr="00E47DE9">
              <w:t>Chris Kenny</w:t>
            </w:r>
            <w:r>
              <w:t xml:space="preserve"> </w:t>
            </w:r>
            <w:r w:rsidR="00E47DE9">
              <w:t>(from item 4)</w:t>
            </w:r>
          </w:p>
          <w:p w14:paraId="12DDF826" w14:textId="6A07CCC8" w:rsidR="005C5AA9" w:rsidRPr="00E6588A" w:rsidRDefault="005C5AA9" w:rsidP="009D4B4B">
            <w:pPr>
              <w:spacing w:before="60" w:after="60"/>
            </w:pPr>
            <w:r w:rsidRPr="00E6588A">
              <w:t xml:space="preserve">Lord Kerslake </w:t>
            </w:r>
            <w:r w:rsidR="00267FA8">
              <w:t>(</w:t>
            </w:r>
            <w:r w:rsidR="00FC1FB9">
              <w:t xml:space="preserve">items </w:t>
            </w:r>
            <w:r w:rsidR="002D400C">
              <w:t>7</w:t>
            </w:r>
            <w:r w:rsidR="00FC1FB9">
              <w:t xml:space="preserve"> to </w:t>
            </w:r>
            <w:r w:rsidR="008067D8">
              <w:t>12</w:t>
            </w:r>
            <w:r w:rsidR="00FC1FB9">
              <w:t>)</w:t>
            </w:r>
          </w:p>
          <w:p w14:paraId="30089F4C" w14:textId="68857C4E" w:rsidR="002809E2" w:rsidRPr="00E30A8B" w:rsidRDefault="00BE7304" w:rsidP="009D4B4B">
            <w:pPr>
              <w:spacing w:before="60" w:after="60"/>
            </w:pPr>
            <w:r>
              <w:t>Giles Searby</w:t>
            </w:r>
          </w:p>
        </w:tc>
      </w:tr>
      <w:tr w:rsidR="009A6CD4" w14:paraId="70E71BC7" w14:textId="77777777" w:rsidTr="009D4B4B">
        <w:tc>
          <w:tcPr>
            <w:tcW w:w="8080" w:type="dxa"/>
            <w:gridSpan w:val="5"/>
            <w:tcBorders>
              <w:top w:val="single" w:sz="4" w:space="0" w:color="auto"/>
              <w:bottom w:val="single" w:sz="4" w:space="0" w:color="auto"/>
              <w:right w:val="single" w:sz="4" w:space="0" w:color="auto"/>
            </w:tcBorders>
          </w:tcPr>
          <w:p w14:paraId="2F93DFFE" w14:textId="2CCB254D" w:rsidR="009A6CD4" w:rsidRDefault="009A6CD4" w:rsidP="009D4B4B">
            <w:pPr>
              <w:spacing w:before="60" w:after="60"/>
              <w:rPr>
                <w:color w:val="621B40"/>
              </w:rPr>
            </w:pPr>
            <w:r>
              <w:rPr>
                <w:color w:val="621B40"/>
              </w:rPr>
              <w:t>IN ATTENDANCE:</w:t>
            </w:r>
          </w:p>
        </w:tc>
        <w:tc>
          <w:tcPr>
            <w:tcW w:w="1559" w:type="dxa"/>
            <w:tcBorders>
              <w:top w:val="single" w:sz="4" w:space="0" w:color="auto"/>
              <w:left w:val="single" w:sz="4" w:space="0" w:color="auto"/>
              <w:bottom w:val="single" w:sz="4" w:space="0" w:color="auto"/>
            </w:tcBorders>
          </w:tcPr>
          <w:p w14:paraId="5704DEE0" w14:textId="34F6391B" w:rsidR="009A6CD4" w:rsidRPr="005566E3" w:rsidRDefault="002809E2" w:rsidP="009D4B4B">
            <w:pPr>
              <w:spacing w:before="60" w:after="60"/>
              <w:rPr>
                <w:color w:val="621B40"/>
                <w:sz w:val="18"/>
                <w:szCs w:val="18"/>
              </w:rPr>
            </w:pPr>
            <w:r w:rsidRPr="005566E3">
              <w:rPr>
                <w:color w:val="621B40"/>
                <w:sz w:val="18"/>
                <w:szCs w:val="18"/>
              </w:rPr>
              <w:t>AGENDA ITEM</w:t>
            </w:r>
          </w:p>
        </w:tc>
      </w:tr>
      <w:tr w:rsidR="00957F2F" w14:paraId="33D3ED1C" w14:textId="77777777" w:rsidTr="009D4B4B">
        <w:tc>
          <w:tcPr>
            <w:tcW w:w="8080" w:type="dxa"/>
            <w:gridSpan w:val="5"/>
            <w:tcBorders>
              <w:top w:val="single" w:sz="4" w:space="0" w:color="auto"/>
              <w:bottom w:val="single" w:sz="4" w:space="0" w:color="auto"/>
              <w:right w:val="single" w:sz="4" w:space="0" w:color="auto"/>
            </w:tcBorders>
          </w:tcPr>
          <w:p w14:paraId="0F205BCD" w14:textId="4C1E79D1" w:rsidR="00957F2F" w:rsidRDefault="00957F2F" w:rsidP="009D4B4B">
            <w:pPr>
              <w:spacing w:before="60" w:after="60"/>
            </w:pPr>
            <w:r w:rsidRPr="14B0EEE7">
              <w:t xml:space="preserve">Michaela Boryslawskyj, University Secretary </w:t>
            </w:r>
          </w:p>
          <w:p w14:paraId="36417FD7" w14:textId="0C68B557" w:rsidR="000109FB" w:rsidRPr="00957F2F" w:rsidRDefault="000109FB" w:rsidP="009D4B4B">
            <w:pPr>
              <w:spacing w:before="60" w:after="60"/>
            </w:pPr>
            <w:r w:rsidRPr="00957F2F">
              <w:t>Richard Calvert, D</w:t>
            </w:r>
            <w:r w:rsidR="009F6015">
              <w:t xml:space="preserve">eputy </w:t>
            </w:r>
            <w:r w:rsidRPr="00957F2F">
              <w:t>V</w:t>
            </w:r>
            <w:r w:rsidR="009F6015">
              <w:t>ice-</w:t>
            </w:r>
            <w:r w:rsidRPr="00957F2F">
              <w:t>C</w:t>
            </w:r>
            <w:r w:rsidR="009F6015">
              <w:t>hancellor</w:t>
            </w:r>
            <w:r w:rsidR="008F2622">
              <w:t xml:space="preserve">, </w:t>
            </w:r>
            <w:r w:rsidRPr="00957F2F">
              <w:t>Strategy and Operations</w:t>
            </w:r>
            <w:r w:rsidR="00E96B9E">
              <w:t xml:space="preserve"> (DVCSO)</w:t>
            </w:r>
          </w:p>
          <w:p w14:paraId="7716E94B" w14:textId="165657D3" w:rsidR="00737EC6" w:rsidRDefault="001C474E" w:rsidP="009D4B4B">
            <w:pPr>
              <w:spacing w:before="60" w:after="60"/>
            </w:pPr>
            <w:r>
              <w:t xml:space="preserve">Dr </w:t>
            </w:r>
            <w:r w:rsidR="00B008C2" w:rsidRPr="00957F2F">
              <w:t>Sally Jackson, Chief People Officer</w:t>
            </w:r>
            <w:r w:rsidR="00E96B9E">
              <w:t>, Pro Vice-Chancellor (Diversity and Inclusion) (CPO/PVCDI)</w:t>
            </w:r>
          </w:p>
          <w:p w14:paraId="45EF439C" w14:textId="5A5804AC" w:rsidR="00BE7304" w:rsidRDefault="003D2258" w:rsidP="009D4B4B">
            <w:pPr>
              <w:spacing w:before="60" w:after="60"/>
            </w:pPr>
            <w:r>
              <w:t>Clair Marlow</w:t>
            </w:r>
            <w:r w:rsidR="00E47DE9">
              <w:t xml:space="preserve">, Head of Legal Services and Deputy University Secretary </w:t>
            </w:r>
          </w:p>
          <w:p w14:paraId="4C5DAFEE" w14:textId="1C41A4C0" w:rsidR="003D2258" w:rsidRDefault="003D2258" w:rsidP="009D4B4B">
            <w:pPr>
              <w:spacing w:before="60" w:after="60"/>
            </w:pPr>
            <w:r>
              <w:t xml:space="preserve">Janet </w:t>
            </w:r>
            <w:r w:rsidR="00A56C4B">
              <w:t>Onyia, Governor Apprentice (Observer)</w:t>
            </w:r>
          </w:p>
          <w:p w14:paraId="75408D74" w14:textId="77777777" w:rsidR="00A56C4B" w:rsidRDefault="00A56C4B" w:rsidP="00A56C4B">
            <w:pPr>
              <w:spacing w:before="60" w:after="60"/>
            </w:pPr>
            <w:r>
              <w:t>Simon Taylor, Chief Finance Officer</w:t>
            </w:r>
          </w:p>
          <w:p w14:paraId="487F8B75" w14:textId="77777777" w:rsidR="00A56C4B" w:rsidRDefault="00A56C4B" w:rsidP="00A56C4B">
            <w:pPr>
              <w:spacing w:before="60" w:after="60"/>
            </w:pPr>
            <w:r>
              <w:t xml:space="preserve">Tracey Taylor, </w:t>
            </w:r>
            <w:r w:rsidRPr="00605B63">
              <w:t>Committee Secr</w:t>
            </w:r>
            <w:r>
              <w:t xml:space="preserve">etary </w:t>
            </w:r>
          </w:p>
          <w:p w14:paraId="7E040F79" w14:textId="71E7290B" w:rsidR="00267FA8" w:rsidRPr="00376973" w:rsidRDefault="006348E4" w:rsidP="009D4B4B">
            <w:pPr>
              <w:spacing w:before="60" w:after="60"/>
            </w:pPr>
            <w:r>
              <w:t>Libby Wilson</w:t>
            </w:r>
            <w:r w:rsidR="00F4732F">
              <w:t xml:space="preserve">, </w:t>
            </w:r>
            <w:r w:rsidR="00A56C4B">
              <w:t>Director of Transformation</w:t>
            </w:r>
          </w:p>
        </w:tc>
        <w:tc>
          <w:tcPr>
            <w:tcW w:w="1559" w:type="dxa"/>
            <w:tcBorders>
              <w:top w:val="single" w:sz="4" w:space="0" w:color="auto"/>
              <w:left w:val="single" w:sz="4" w:space="0" w:color="auto"/>
              <w:bottom w:val="single" w:sz="4" w:space="0" w:color="auto"/>
            </w:tcBorders>
          </w:tcPr>
          <w:p w14:paraId="07C9B3C7" w14:textId="4B9D7225" w:rsidR="00757BCA" w:rsidRDefault="00757BCA" w:rsidP="009D4B4B">
            <w:pPr>
              <w:spacing w:before="60" w:after="60"/>
            </w:pPr>
            <w:r>
              <w:t>All</w:t>
            </w:r>
          </w:p>
          <w:p w14:paraId="7DE8A3FF" w14:textId="618C9EAE" w:rsidR="00757BCA" w:rsidRDefault="005C5AA9" w:rsidP="009D4B4B">
            <w:pPr>
              <w:spacing w:before="60" w:after="60"/>
            </w:pPr>
            <w:r>
              <w:t>All</w:t>
            </w:r>
          </w:p>
          <w:p w14:paraId="60E85A81" w14:textId="77777777" w:rsidR="00757BCA" w:rsidRDefault="00757BCA" w:rsidP="009D4B4B">
            <w:pPr>
              <w:spacing w:before="60" w:after="60"/>
            </w:pPr>
            <w:r>
              <w:t>All</w:t>
            </w:r>
          </w:p>
          <w:p w14:paraId="1A7A307A" w14:textId="682CEFD7" w:rsidR="00BE7304" w:rsidRDefault="006348E4" w:rsidP="009D4B4B">
            <w:pPr>
              <w:spacing w:before="60" w:after="60"/>
            </w:pPr>
            <w:r>
              <w:t>All</w:t>
            </w:r>
          </w:p>
          <w:p w14:paraId="4B472FED" w14:textId="7DB814FF" w:rsidR="006252B6" w:rsidRDefault="005C5AA9" w:rsidP="009D4B4B">
            <w:pPr>
              <w:spacing w:before="60" w:after="60"/>
            </w:pPr>
            <w:r>
              <w:t xml:space="preserve">All </w:t>
            </w:r>
          </w:p>
          <w:p w14:paraId="1A0A64AA" w14:textId="799847AB" w:rsidR="00E47DE9" w:rsidRDefault="00E47DE9" w:rsidP="009D4B4B">
            <w:pPr>
              <w:spacing w:before="60" w:after="60"/>
            </w:pPr>
            <w:r>
              <w:t>All</w:t>
            </w:r>
          </w:p>
          <w:p w14:paraId="0F89D3FA" w14:textId="0974058F" w:rsidR="003D2258" w:rsidRDefault="00E47DE9" w:rsidP="009D4B4B">
            <w:pPr>
              <w:spacing w:before="60" w:after="60"/>
            </w:pPr>
            <w:r>
              <w:t>All</w:t>
            </w:r>
          </w:p>
          <w:p w14:paraId="4305F280" w14:textId="39D36FEF" w:rsidR="00E96B9E" w:rsidRDefault="00E96B9E" w:rsidP="009D4B4B">
            <w:pPr>
              <w:spacing w:before="60" w:after="60"/>
            </w:pPr>
            <w:r>
              <w:t>All</w:t>
            </w:r>
          </w:p>
          <w:p w14:paraId="7CD288B8" w14:textId="3EFE22BD" w:rsidR="00267FA8" w:rsidRPr="00627E3D" w:rsidRDefault="006348E4" w:rsidP="009D4B4B">
            <w:pPr>
              <w:spacing w:before="60" w:after="60"/>
            </w:pPr>
            <w:r>
              <w:t>Items 7-9</w:t>
            </w:r>
          </w:p>
        </w:tc>
      </w:tr>
      <w:tr w:rsidR="00757BCA" w14:paraId="4AB1E8EE" w14:textId="77777777" w:rsidTr="009D4B4B">
        <w:tc>
          <w:tcPr>
            <w:tcW w:w="9639" w:type="dxa"/>
            <w:gridSpan w:val="6"/>
            <w:tcBorders>
              <w:top w:val="single" w:sz="4" w:space="0" w:color="auto"/>
              <w:bottom w:val="single" w:sz="4" w:space="0" w:color="auto"/>
            </w:tcBorders>
          </w:tcPr>
          <w:p w14:paraId="7D7D4AF7" w14:textId="3B58FB6A" w:rsidR="00267FA8" w:rsidRDefault="00757BCA" w:rsidP="009D4B4B">
            <w:pPr>
              <w:spacing w:before="60" w:after="60"/>
            </w:pPr>
            <w:r w:rsidRPr="00966FEE">
              <w:rPr>
                <w:color w:val="621B40"/>
              </w:rPr>
              <w:t>APOLOGIES</w:t>
            </w:r>
            <w:r w:rsidRPr="003D2FE4">
              <w:rPr>
                <w:color w:val="621B40"/>
              </w:rPr>
              <w:t>:</w:t>
            </w:r>
            <w:r w:rsidR="00E30A8B" w:rsidRPr="003D2FE4">
              <w:rPr>
                <w:color w:val="621B40"/>
              </w:rPr>
              <w:t xml:space="preserve"> </w:t>
            </w:r>
            <w:r w:rsidR="003D2FE4" w:rsidRPr="003D2FE4">
              <w:t xml:space="preserve"> </w:t>
            </w:r>
            <w:r w:rsidR="006348E4">
              <w:t>No a</w:t>
            </w:r>
            <w:r w:rsidR="003207D0">
              <w:t>pologies were received.</w:t>
            </w:r>
          </w:p>
        </w:tc>
      </w:tr>
      <w:tr w:rsidR="00004309" w:rsidRPr="005566E3" w14:paraId="5DA9710E"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D9D9D9" w:themeFill="background1" w:themeFillShade="D9"/>
          </w:tcPr>
          <w:p w14:paraId="00CD5043" w14:textId="3041AAF4" w:rsidR="00004309" w:rsidRPr="005566E3" w:rsidRDefault="00004309" w:rsidP="009D4B4B">
            <w:pPr>
              <w:ind w:left="-108" w:right="-102"/>
              <w:jc w:val="right"/>
              <w:rPr>
                <w:color w:val="621B40"/>
                <w:sz w:val="16"/>
                <w:szCs w:val="16"/>
              </w:rPr>
            </w:pPr>
            <w:bookmarkStart w:id="0" w:name="_Hlk41639595"/>
            <w:bookmarkStart w:id="1" w:name="_Hlk83880786"/>
          </w:p>
        </w:tc>
        <w:tc>
          <w:tcPr>
            <w:tcW w:w="1278" w:type="dxa"/>
            <w:tcBorders>
              <w:top w:val="single" w:sz="4" w:space="0" w:color="auto"/>
              <w:bottom w:val="single" w:sz="4" w:space="0" w:color="auto"/>
            </w:tcBorders>
            <w:shd w:val="clear" w:color="auto" w:fill="D9D9D9" w:themeFill="background1" w:themeFillShade="D9"/>
          </w:tcPr>
          <w:p w14:paraId="5F8CC4F9" w14:textId="0050A11E" w:rsidR="00004309" w:rsidRPr="005566E3" w:rsidRDefault="00004309" w:rsidP="009D4B4B">
            <w:pPr>
              <w:rPr>
                <w:color w:val="621B40"/>
                <w:sz w:val="16"/>
                <w:szCs w:val="16"/>
              </w:rPr>
            </w:pPr>
          </w:p>
        </w:tc>
        <w:tc>
          <w:tcPr>
            <w:tcW w:w="5242" w:type="dxa"/>
            <w:gridSpan w:val="2"/>
            <w:tcBorders>
              <w:top w:val="single" w:sz="4" w:space="0" w:color="auto"/>
              <w:bottom w:val="single" w:sz="4" w:space="0" w:color="auto"/>
            </w:tcBorders>
            <w:shd w:val="clear" w:color="auto" w:fill="D9D9D9" w:themeFill="background1" w:themeFillShade="D9"/>
          </w:tcPr>
          <w:p w14:paraId="366D6BDC" w14:textId="219C32AB" w:rsidR="00004309" w:rsidRPr="005566E3" w:rsidRDefault="00004309" w:rsidP="009D4B4B">
            <w:pPr>
              <w:rPr>
                <w:b/>
                <w:bCs/>
                <w:color w:val="621B40"/>
              </w:rPr>
            </w:pPr>
            <w:r>
              <w:rPr>
                <w:b/>
                <w:bCs/>
                <w:color w:val="621B40"/>
              </w:rPr>
              <w:t>Opening Remarks</w:t>
            </w:r>
          </w:p>
        </w:tc>
        <w:tc>
          <w:tcPr>
            <w:tcW w:w="709" w:type="dxa"/>
            <w:tcBorders>
              <w:top w:val="single" w:sz="4" w:space="0" w:color="auto"/>
              <w:bottom w:val="single" w:sz="4" w:space="0" w:color="auto"/>
            </w:tcBorders>
            <w:shd w:val="clear" w:color="auto" w:fill="D9D9D9" w:themeFill="background1" w:themeFillShade="D9"/>
          </w:tcPr>
          <w:p w14:paraId="1ECFAF57" w14:textId="77777777" w:rsidR="00004309" w:rsidRPr="005566E3" w:rsidRDefault="00004309" w:rsidP="009D4B4B">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20865CF9" w14:textId="5B0D51B6" w:rsidR="00004309" w:rsidRPr="005566E3" w:rsidRDefault="00EB7DB8" w:rsidP="009D4B4B">
            <w:pPr>
              <w:rPr>
                <w:color w:val="621B40"/>
              </w:rPr>
            </w:pPr>
            <w:r>
              <w:rPr>
                <w:color w:val="621B40"/>
              </w:rPr>
              <w:t>FEC/</w:t>
            </w:r>
            <w:r w:rsidR="00F4732F">
              <w:rPr>
                <w:color w:val="621B40"/>
              </w:rPr>
              <w:t>4/22</w:t>
            </w:r>
            <w:r w:rsidR="00004309">
              <w:rPr>
                <w:color w:val="621B40"/>
              </w:rPr>
              <w:t>/1</w:t>
            </w:r>
          </w:p>
        </w:tc>
      </w:tr>
      <w:tr w:rsidR="00004309" w14:paraId="3164D650"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tcPr>
          <w:p w14:paraId="4863138E" w14:textId="77777777" w:rsidR="00004309" w:rsidRDefault="00004309" w:rsidP="009D4B4B">
            <w:pPr>
              <w:spacing w:before="60" w:after="60"/>
              <w:ind w:left="-108" w:right="-108"/>
              <w:jc w:val="right"/>
            </w:pPr>
            <w:r>
              <w:t>1.1</w:t>
            </w:r>
          </w:p>
        </w:tc>
        <w:tc>
          <w:tcPr>
            <w:tcW w:w="8788" w:type="dxa"/>
            <w:gridSpan w:val="5"/>
            <w:tcBorders>
              <w:top w:val="single" w:sz="4" w:space="0" w:color="auto"/>
              <w:bottom w:val="single" w:sz="4" w:space="0" w:color="auto"/>
            </w:tcBorders>
          </w:tcPr>
          <w:p w14:paraId="1BF216E3" w14:textId="447D6ACB" w:rsidR="003F0213" w:rsidRDefault="00421F32" w:rsidP="009D4B4B">
            <w:pPr>
              <w:spacing w:before="60" w:after="60"/>
            </w:pPr>
            <w:r>
              <w:t xml:space="preserve">The Chair welcomed </w:t>
            </w:r>
            <w:r w:rsidR="004638BF">
              <w:t>everyone</w:t>
            </w:r>
            <w:r>
              <w:t xml:space="preserve"> to the meeting</w:t>
            </w:r>
            <w:r w:rsidR="00E47DE9">
              <w:t>, particularly Janet</w:t>
            </w:r>
            <w:r w:rsidR="004638BF">
              <w:t xml:space="preserve"> Onyia, Governor Apprentice</w:t>
            </w:r>
            <w:r w:rsidR="00671029">
              <w:t xml:space="preserve">, </w:t>
            </w:r>
            <w:r w:rsidR="004638BF">
              <w:t>who would be</w:t>
            </w:r>
            <w:r w:rsidR="00E47DE9">
              <w:t xml:space="preserve"> observing the meeting. </w:t>
            </w:r>
          </w:p>
        </w:tc>
      </w:tr>
      <w:tr w:rsidR="005566E3" w:rsidRPr="005566E3" w14:paraId="09E5EEEE"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D9D9D9" w:themeFill="background1" w:themeFillShade="D9"/>
          </w:tcPr>
          <w:p w14:paraId="737EB94E" w14:textId="77777777" w:rsidR="002809E2" w:rsidRPr="005566E3" w:rsidRDefault="002809E2" w:rsidP="009D4B4B">
            <w:pPr>
              <w:ind w:left="-108" w:right="-102"/>
              <w:jc w:val="right"/>
              <w:rPr>
                <w:color w:val="621B40"/>
                <w:sz w:val="16"/>
                <w:szCs w:val="16"/>
              </w:rPr>
            </w:pPr>
            <w:r w:rsidRPr="005566E3">
              <w:rPr>
                <w:color w:val="621B40"/>
                <w:sz w:val="16"/>
                <w:szCs w:val="16"/>
              </w:rPr>
              <w:t>Agenda item</w:t>
            </w:r>
          </w:p>
          <w:p w14:paraId="60418243" w14:textId="549EA7FA" w:rsidR="005566E3" w:rsidRPr="005566E3" w:rsidRDefault="005566E3" w:rsidP="009D4B4B">
            <w:pPr>
              <w:ind w:left="-108" w:right="-102"/>
              <w:jc w:val="right"/>
              <w:rPr>
                <w:color w:val="621B40"/>
                <w:sz w:val="16"/>
                <w:szCs w:val="16"/>
              </w:rPr>
            </w:pPr>
            <w:r w:rsidRPr="005566E3">
              <w:rPr>
                <w:color w:val="621B40"/>
                <w:sz w:val="16"/>
                <w:szCs w:val="16"/>
              </w:rPr>
              <w:t>Paper Ref</w:t>
            </w:r>
          </w:p>
        </w:tc>
        <w:tc>
          <w:tcPr>
            <w:tcW w:w="1278" w:type="dxa"/>
            <w:tcBorders>
              <w:top w:val="single" w:sz="4" w:space="0" w:color="auto"/>
              <w:bottom w:val="single" w:sz="4" w:space="0" w:color="auto"/>
            </w:tcBorders>
            <w:shd w:val="clear" w:color="auto" w:fill="D9D9D9" w:themeFill="background1" w:themeFillShade="D9"/>
          </w:tcPr>
          <w:p w14:paraId="004A003B" w14:textId="215F6A91" w:rsidR="002809E2" w:rsidRPr="005566E3" w:rsidRDefault="005670FF" w:rsidP="009D4B4B">
            <w:pPr>
              <w:rPr>
                <w:color w:val="621B40"/>
                <w:sz w:val="16"/>
                <w:szCs w:val="16"/>
              </w:rPr>
            </w:pPr>
            <w:r>
              <w:rPr>
                <w:color w:val="621B40"/>
                <w:sz w:val="16"/>
                <w:szCs w:val="16"/>
              </w:rPr>
              <w:t>2</w:t>
            </w:r>
          </w:p>
        </w:tc>
        <w:tc>
          <w:tcPr>
            <w:tcW w:w="5242" w:type="dxa"/>
            <w:gridSpan w:val="2"/>
            <w:tcBorders>
              <w:top w:val="single" w:sz="4" w:space="0" w:color="auto"/>
              <w:bottom w:val="single" w:sz="4" w:space="0" w:color="auto"/>
            </w:tcBorders>
            <w:shd w:val="clear" w:color="auto" w:fill="D9D9D9" w:themeFill="background1" w:themeFillShade="D9"/>
          </w:tcPr>
          <w:p w14:paraId="31F77AA7" w14:textId="669757D9" w:rsidR="002809E2" w:rsidRPr="005566E3" w:rsidRDefault="4B72D45A" w:rsidP="009D4B4B">
            <w:pPr>
              <w:rPr>
                <w:b/>
                <w:bCs/>
                <w:color w:val="621B40"/>
              </w:rPr>
            </w:pPr>
            <w:r w:rsidRPr="5904D6BD">
              <w:rPr>
                <w:b/>
                <w:bCs/>
                <w:color w:val="621B40"/>
              </w:rPr>
              <w:t>Declarations of Interest</w:t>
            </w:r>
          </w:p>
        </w:tc>
        <w:tc>
          <w:tcPr>
            <w:tcW w:w="709" w:type="dxa"/>
            <w:tcBorders>
              <w:top w:val="single" w:sz="4" w:space="0" w:color="auto"/>
              <w:bottom w:val="single" w:sz="4" w:space="0" w:color="auto"/>
            </w:tcBorders>
            <w:shd w:val="clear" w:color="auto" w:fill="D9D9D9" w:themeFill="background1" w:themeFillShade="D9"/>
          </w:tcPr>
          <w:p w14:paraId="1C1131C5" w14:textId="0C6FC269" w:rsidR="002809E2" w:rsidRPr="005566E3" w:rsidRDefault="002809E2" w:rsidP="009D4B4B">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7E291A61" w14:textId="32019DC0" w:rsidR="002809E2" w:rsidRPr="005566E3" w:rsidRDefault="00EB7DB8" w:rsidP="009D4B4B">
            <w:pPr>
              <w:rPr>
                <w:color w:val="621B40"/>
              </w:rPr>
            </w:pPr>
            <w:r>
              <w:rPr>
                <w:color w:val="621B40"/>
              </w:rPr>
              <w:t>FEC/</w:t>
            </w:r>
            <w:r w:rsidR="00F4732F">
              <w:rPr>
                <w:color w:val="621B40"/>
              </w:rPr>
              <w:t>4/22</w:t>
            </w:r>
            <w:r w:rsidR="004247FB">
              <w:rPr>
                <w:color w:val="621B40"/>
              </w:rPr>
              <w:t>/</w:t>
            </w:r>
            <w:r w:rsidR="00004309">
              <w:rPr>
                <w:color w:val="621B40"/>
              </w:rPr>
              <w:t>2</w:t>
            </w:r>
          </w:p>
        </w:tc>
      </w:tr>
      <w:bookmarkEnd w:id="0"/>
      <w:tr w:rsidR="00D428C7" w14:paraId="2C1E7BCC"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tcPr>
          <w:p w14:paraId="71315264" w14:textId="67C84C91" w:rsidR="00D428C7" w:rsidRDefault="00FE12F3" w:rsidP="009D4B4B">
            <w:pPr>
              <w:spacing w:before="60" w:after="60"/>
              <w:ind w:left="-108" w:right="-108"/>
              <w:jc w:val="right"/>
            </w:pPr>
            <w:r>
              <w:t>2</w:t>
            </w:r>
            <w:r w:rsidR="00D428C7">
              <w:t>.1</w:t>
            </w:r>
          </w:p>
        </w:tc>
        <w:tc>
          <w:tcPr>
            <w:tcW w:w="8788" w:type="dxa"/>
            <w:gridSpan w:val="5"/>
            <w:tcBorders>
              <w:top w:val="single" w:sz="4" w:space="0" w:color="auto"/>
              <w:bottom w:val="single" w:sz="4" w:space="0" w:color="auto"/>
            </w:tcBorders>
          </w:tcPr>
          <w:p w14:paraId="39FFF9CA" w14:textId="639F8CFA" w:rsidR="00D428C7" w:rsidRDefault="00E6618A" w:rsidP="009D4B4B">
            <w:pPr>
              <w:spacing w:before="60" w:after="60"/>
            </w:pPr>
            <w:r>
              <w:t>There were no declarations of interests.</w:t>
            </w:r>
          </w:p>
        </w:tc>
      </w:tr>
      <w:tr w:rsidR="00D428C7" w:rsidRPr="005566E3" w14:paraId="2D60E536"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D9D9D9" w:themeFill="background1" w:themeFillShade="D9"/>
          </w:tcPr>
          <w:p w14:paraId="741775CE" w14:textId="77777777" w:rsidR="00D428C7" w:rsidRPr="005566E3" w:rsidRDefault="00D428C7" w:rsidP="009D4B4B">
            <w:pPr>
              <w:ind w:left="-108" w:right="-102"/>
              <w:jc w:val="right"/>
              <w:rPr>
                <w:color w:val="621B40"/>
                <w:sz w:val="16"/>
                <w:szCs w:val="16"/>
              </w:rPr>
            </w:pPr>
            <w:bookmarkStart w:id="2" w:name="_Hlk63683483"/>
            <w:bookmarkEnd w:id="1"/>
            <w:r w:rsidRPr="005566E3">
              <w:rPr>
                <w:color w:val="621B40"/>
                <w:sz w:val="16"/>
                <w:szCs w:val="16"/>
              </w:rPr>
              <w:t>Agenda item</w:t>
            </w:r>
          </w:p>
          <w:p w14:paraId="430F5BB1" w14:textId="77777777" w:rsidR="00D428C7" w:rsidRPr="005566E3" w:rsidRDefault="00D428C7" w:rsidP="009D4B4B">
            <w:pPr>
              <w:ind w:left="-108" w:right="-102"/>
              <w:jc w:val="right"/>
              <w:rPr>
                <w:color w:val="621B40"/>
                <w:sz w:val="16"/>
                <w:szCs w:val="16"/>
              </w:rPr>
            </w:pPr>
            <w:r w:rsidRPr="005566E3">
              <w:rPr>
                <w:color w:val="621B40"/>
                <w:sz w:val="16"/>
                <w:szCs w:val="16"/>
              </w:rPr>
              <w:t>Paper Ref</w:t>
            </w:r>
          </w:p>
        </w:tc>
        <w:tc>
          <w:tcPr>
            <w:tcW w:w="1278" w:type="dxa"/>
            <w:tcBorders>
              <w:top w:val="single" w:sz="4" w:space="0" w:color="auto"/>
              <w:bottom w:val="single" w:sz="4" w:space="0" w:color="auto"/>
            </w:tcBorders>
            <w:shd w:val="clear" w:color="auto" w:fill="D9D9D9" w:themeFill="background1" w:themeFillShade="D9"/>
          </w:tcPr>
          <w:p w14:paraId="626D7828" w14:textId="10853587" w:rsidR="00D428C7" w:rsidRPr="005566E3" w:rsidRDefault="00D428C7" w:rsidP="009D4B4B">
            <w:pPr>
              <w:rPr>
                <w:color w:val="621B40"/>
                <w:sz w:val="16"/>
                <w:szCs w:val="16"/>
              </w:rPr>
            </w:pPr>
            <w:r w:rsidRPr="5904D6BD">
              <w:rPr>
                <w:color w:val="621B40"/>
                <w:sz w:val="16"/>
                <w:szCs w:val="16"/>
              </w:rPr>
              <w:t xml:space="preserve"> </w:t>
            </w:r>
            <w:r>
              <w:rPr>
                <w:color w:val="621B40"/>
                <w:sz w:val="16"/>
                <w:szCs w:val="16"/>
              </w:rPr>
              <w:t>3</w:t>
            </w:r>
          </w:p>
          <w:p w14:paraId="5A78F8F0" w14:textId="7B69E324" w:rsidR="00D428C7" w:rsidRDefault="00EB7DB8" w:rsidP="009D4B4B">
            <w:pPr>
              <w:rPr>
                <w:color w:val="621B40"/>
                <w:sz w:val="16"/>
                <w:szCs w:val="16"/>
              </w:rPr>
            </w:pPr>
            <w:r>
              <w:rPr>
                <w:color w:val="621B40"/>
                <w:sz w:val="16"/>
                <w:szCs w:val="16"/>
              </w:rPr>
              <w:t>FEC/</w:t>
            </w:r>
            <w:r w:rsidR="00F4732F">
              <w:rPr>
                <w:color w:val="621B40"/>
                <w:sz w:val="16"/>
                <w:szCs w:val="16"/>
              </w:rPr>
              <w:t>3</w:t>
            </w:r>
            <w:r>
              <w:rPr>
                <w:color w:val="621B40"/>
                <w:sz w:val="16"/>
                <w:szCs w:val="16"/>
              </w:rPr>
              <w:t>/22</w:t>
            </w:r>
            <w:r w:rsidR="00D428C7" w:rsidRPr="5904D6BD">
              <w:rPr>
                <w:color w:val="621B40"/>
                <w:sz w:val="16"/>
                <w:szCs w:val="16"/>
              </w:rPr>
              <w:t>/M</w:t>
            </w:r>
          </w:p>
          <w:p w14:paraId="3F3D78E1" w14:textId="09B1D845" w:rsidR="00D428C7" w:rsidRPr="005566E3" w:rsidRDefault="00D428C7" w:rsidP="009D4B4B">
            <w:pPr>
              <w:rPr>
                <w:color w:val="621B40"/>
                <w:sz w:val="16"/>
                <w:szCs w:val="16"/>
              </w:rPr>
            </w:pPr>
          </w:p>
        </w:tc>
        <w:tc>
          <w:tcPr>
            <w:tcW w:w="5242" w:type="dxa"/>
            <w:gridSpan w:val="2"/>
            <w:tcBorders>
              <w:top w:val="single" w:sz="4" w:space="0" w:color="auto"/>
              <w:bottom w:val="single" w:sz="4" w:space="0" w:color="auto"/>
            </w:tcBorders>
            <w:shd w:val="clear" w:color="auto" w:fill="D9D9D9" w:themeFill="background1" w:themeFillShade="D9"/>
          </w:tcPr>
          <w:p w14:paraId="345338F0" w14:textId="49D1A857" w:rsidR="00D428C7" w:rsidRPr="005566E3" w:rsidRDefault="00D428C7" w:rsidP="009D4B4B">
            <w:pPr>
              <w:rPr>
                <w:b/>
                <w:bCs/>
                <w:color w:val="621B40"/>
              </w:rPr>
            </w:pPr>
            <w:r w:rsidRPr="5904D6BD">
              <w:rPr>
                <w:b/>
                <w:bCs/>
                <w:color w:val="621B40"/>
              </w:rPr>
              <w:t xml:space="preserve">Minutes of </w:t>
            </w:r>
            <w:r w:rsidR="00E210C2">
              <w:rPr>
                <w:b/>
                <w:bCs/>
                <w:color w:val="621B40"/>
              </w:rPr>
              <w:t xml:space="preserve">the </w:t>
            </w:r>
            <w:r w:rsidRPr="5904D6BD">
              <w:rPr>
                <w:b/>
                <w:bCs/>
                <w:color w:val="621B40"/>
              </w:rPr>
              <w:t>Meeting</w:t>
            </w:r>
            <w:r>
              <w:rPr>
                <w:b/>
                <w:bCs/>
                <w:color w:val="621B40"/>
              </w:rPr>
              <w:t xml:space="preserve"> held on </w:t>
            </w:r>
            <w:r w:rsidR="00F4732F">
              <w:rPr>
                <w:b/>
                <w:bCs/>
                <w:color w:val="621B40"/>
              </w:rPr>
              <w:t>4 May 2022</w:t>
            </w:r>
          </w:p>
        </w:tc>
        <w:tc>
          <w:tcPr>
            <w:tcW w:w="709" w:type="dxa"/>
            <w:tcBorders>
              <w:top w:val="single" w:sz="4" w:space="0" w:color="auto"/>
              <w:bottom w:val="single" w:sz="4" w:space="0" w:color="auto"/>
            </w:tcBorders>
            <w:shd w:val="clear" w:color="auto" w:fill="D9D9D9" w:themeFill="background1" w:themeFillShade="D9"/>
          </w:tcPr>
          <w:p w14:paraId="77BC29EC" w14:textId="77777777" w:rsidR="00D428C7" w:rsidRPr="005566E3" w:rsidRDefault="00D428C7" w:rsidP="009D4B4B">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08A141AB" w14:textId="562EA6CA" w:rsidR="00D428C7" w:rsidRPr="005566E3" w:rsidRDefault="00EB7DB8" w:rsidP="009D4B4B">
            <w:pPr>
              <w:rPr>
                <w:color w:val="621B40"/>
              </w:rPr>
            </w:pPr>
            <w:r>
              <w:rPr>
                <w:color w:val="621B40"/>
              </w:rPr>
              <w:t>FEC/</w:t>
            </w:r>
            <w:r w:rsidR="00F4732F">
              <w:rPr>
                <w:color w:val="621B40"/>
              </w:rPr>
              <w:t>4/22</w:t>
            </w:r>
            <w:r w:rsidR="00D428C7">
              <w:rPr>
                <w:color w:val="621B40"/>
              </w:rPr>
              <w:t>/</w:t>
            </w:r>
            <w:r w:rsidR="00004309">
              <w:rPr>
                <w:color w:val="621B40"/>
              </w:rPr>
              <w:t>3</w:t>
            </w:r>
          </w:p>
        </w:tc>
      </w:tr>
      <w:tr w:rsidR="00D428C7" w:rsidRPr="0046255C" w14:paraId="552B546C"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53C36274" w14:textId="2CB11F77" w:rsidR="00D428C7" w:rsidRPr="0046255C" w:rsidRDefault="00FE12F3" w:rsidP="009D4B4B">
            <w:pPr>
              <w:spacing w:before="60" w:after="60"/>
              <w:ind w:left="-108" w:right="-102"/>
              <w:jc w:val="right"/>
              <w:rPr>
                <w:color w:val="621B40"/>
              </w:rPr>
            </w:pPr>
            <w:r>
              <w:t>3</w:t>
            </w:r>
            <w:r w:rsidR="00D428C7" w:rsidRPr="00535317">
              <w:t>.1</w:t>
            </w:r>
          </w:p>
        </w:tc>
        <w:tc>
          <w:tcPr>
            <w:tcW w:w="8788" w:type="dxa"/>
            <w:gridSpan w:val="5"/>
            <w:tcBorders>
              <w:top w:val="single" w:sz="4" w:space="0" w:color="auto"/>
              <w:bottom w:val="single" w:sz="4" w:space="0" w:color="auto"/>
            </w:tcBorders>
            <w:shd w:val="clear" w:color="auto" w:fill="auto"/>
          </w:tcPr>
          <w:p w14:paraId="08DE59E5" w14:textId="0F81E11F" w:rsidR="00D428C7" w:rsidRPr="0046255C" w:rsidRDefault="00D428C7" w:rsidP="009D4B4B">
            <w:pPr>
              <w:spacing w:before="60" w:after="60"/>
              <w:rPr>
                <w:color w:val="621B40"/>
              </w:rPr>
            </w:pPr>
            <w:r>
              <w:t xml:space="preserve">The Committee </w:t>
            </w:r>
            <w:r>
              <w:rPr>
                <w:u w:val="single"/>
              </w:rPr>
              <w:t>approved</w:t>
            </w:r>
            <w:r>
              <w:t xml:space="preserve"> the minutes</w:t>
            </w:r>
            <w:r w:rsidR="00E6618A">
              <w:t xml:space="preserve"> (including the confidential minutes)</w:t>
            </w:r>
            <w:r w:rsidR="00F32A4C">
              <w:t xml:space="preserve"> of the FEC meeting </w:t>
            </w:r>
            <w:r w:rsidR="00A628D0">
              <w:t xml:space="preserve">held </w:t>
            </w:r>
            <w:r w:rsidR="00F32A4C">
              <w:t>on 2</w:t>
            </w:r>
            <w:r w:rsidR="00F4732F">
              <w:t xml:space="preserve">4 May </w:t>
            </w:r>
            <w:r w:rsidR="00F32A4C">
              <w:t xml:space="preserve">2022 </w:t>
            </w:r>
            <w:r>
              <w:t>as an accurate record.</w:t>
            </w:r>
            <w:r w:rsidR="004C2602">
              <w:t xml:space="preserve"> </w:t>
            </w:r>
          </w:p>
        </w:tc>
      </w:tr>
      <w:bookmarkEnd w:id="2"/>
      <w:tr w:rsidR="00D428C7" w:rsidRPr="005566E3" w14:paraId="728788A0"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D9D9D9" w:themeFill="background1" w:themeFillShade="D9"/>
          </w:tcPr>
          <w:p w14:paraId="7527F854" w14:textId="77777777" w:rsidR="00D428C7" w:rsidRPr="005566E3" w:rsidRDefault="00D428C7" w:rsidP="009D4B4B">
            <w:pPr>
              <w:ind w:left="-108" w:right="-102"/>
              <w:jc w:val="right"/>
              <w:rPr>
                <w:color w:val="621B40"/>
                <w:sz w:val="16"/>
                <w:szCs w:val="16"/>
              </w:rPr>
            </w:pPr>
            <w:r w:rsidRPr="005566E3">
              <w:rPr>
                <w:color w:val="621B40"/>
                <w:sz w:val="16"/>
                <w:szCs w:val="16"/>
              </w:rPr>
              <w:t>Agenda item</w:t>
            </w:r>
          </w:p>
          <w:p w14:paraId="7CFE1266" w14:textId="196EB637" w:rsidR="00D428C7" w:rsidRPr="005566E3" w:rsidRDefault="00D428C7" w:rsidP="009D4B4B">
            <w:pPr>
              <w:ind w:left="-108" w:right="-102"/>
              <w:jc w:val="right"/>
              <w:rPr>
                <w:color w:val="621B40"/>
                <w:sz w:val="16"/>
                <w:szCs w:val="16"/>
              </w:rPr>
            </w:pPr>
            <w:r w:rsidRPr="005566E3">
              <w:rPr>
                <w:color w:val="621B40"/>
                <w:sz w:val="16"/>
                <w:szCs w:val="16"/>
              </w:rPr>
              <w:t>Paper Ref</w:t>
            </w:r>
          </w:p>
        </w:tc>
        <w:tc>
          <w:tcPr>
            <w:tcW w:w="1278" w:type="dxa"/>
            <w:tcBorders>
              <w:top w:val="single" w:sz="4" w:space="0" w:color="auto"/>
              <w:bottom w:val="single" w:sz="4" w:space="0" w:color="auto"/>
            </w:tcBorders>
            <w:shd w:val="clear" w:color="auto" w:fill="D9D9D9" w:themeFill="background1" w:themeFillShade="D9"/>
          </w:tcPr>
          <w:p w14:paraId="0D407C5E" w14:textId="42A49A17" w:rsidR="00D428C7" w:rsidRDefault="00D428C7" w:rsidP="009D4B4B">
            <w:pPr>
              <w:rPr>
                <w:color w:val="621B40"/>
                <w:sz w:val="16"/>
                <w:szCs w:val="16"/>
              </w:rPr>
            </w:pPr>
            <w:r>
              <w:rPr>
                <w:color w:val="621B40"/>
                <w:sz w:val="16"/>
                <w:szCs w:val="16"/>
              </w:rPr>
              <w:t>4</w:t>
            </w:r>
          </w:p>
          <w:p w14:paraId="3A14C59F" w14:textId="08389B14" w:rsidR="00D428C7" w:rsidRPr="5904D6BD" w:rsidRDefault="00EB7DB8" w:rsidP="009D4B4B">
            <w:pPr>
              <w:rPr>
                <w:color w:val="621B40"/>
                <w:sz w:val="16"/>
                <w:szCs w:val="16"/>
              </w:rPr>
            </w:pPr>
            <w:r>
              <w:rPr>
                <w:color w:val="621B40"/>
                <w:sz w:val="16"/>
                <w:szCs w:val="16"/>
              </w:rPr>
              <w:t>FEC/</w:t>
            </w:r>
            <w:r w:rsidR="00F4732F">
              <w:rPr>
                <w:color w:val="621B40"/>
                <w:sz w:val="16"/>
                <w:szCs w:val="16"/>
              </w:rPr>
              <w:t>4/22</w:t>
            </w:r>
            <w:r w:rsidR="00D428C7">
              <w:rPr>
                <w:color w:val="621B40"/>
                <w:sz w:val="16"/>
                <w:szCs w:val="16"/>
              </w:rPr>
              <w:t>/4</w:t>
            </w:r>
          </w:p>
        </w:tc>
        <w:tc>
          <w:tcPr>
            <w:tcW w:w="5242" w:type="dxa"/>
            <w:gridSpan w:val="2"/>
            <w:tcBorders>
              <w:top w:val="single" w:sz="4" w:space="0" w:color="auto"/>
              <w:bottom w:val="single" w:sz="4" w:space="0" w:color="auto"/>
            </w:tcBorders>
            <w:shd w:val="clear" w:color="auto" w:fill="D9D9D9" w:themeFill="background1" w:themeFillShade="D9"/>
          </w:tcPr>
          <w:p w14:paraId="49EE3443" w14:textId="523598EA" w:rsidR="00D428C7" w:rsidRPr="5904D6BD" w:rsidRDefault="00D428C7" w:rsidP="009D4B4B">
            <w:pPr>
              <w:rPr>
                <w:b/>
                <w:bCs/>
                <w:color w:val="621B40"/>
              </w:rPr>
            </w:pPr>
            <w:r w:rsidRPr="31113989">
              <w:rPr>
                <w:b/>
                <w:bCs/>
                <w:color w:val="621B40"/>
              </w:rPr>
              <w:t>Matters Arising and Action Tracker</w:t>
            </w:r>
          </w:p>
        </w:tc>
        <w:tc>
          <w:tcPr>
            <w:tcW w:w="709" w:type="dxa"/>
            <w:tcBorders>
              <w:top w:val="single" w:sz="4" w:space="0" w:color="auto"/>
              <w:bottom w:val="single" w:sz="4" w:space="0" w:color="auto"/>
            </w:tcBorders>
            <w:shd w:val="clear" w:color="auto" w:fill="D9D9D9" w:themeFill="background1" w:themeFillShade="D9"/>
          </w:tcPr>
          <w:p w14:paraId="5257BD77" w14:textId="4BC34077" w:rsidR="00D428C7" w:rsidRPr="005566E3" w:rsidRDefault="00D428C7" w:rsidP="009D4B4B">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0B0C50E1" w14:textId="2A712D72" w:rsidR="00D428C7" w:rsidRPr="008D470E" w:rsidRDefault="00EB7DB8" w:rsidP="009D4B4B">
            <w:pPr>
              <w:rPr>
                <w:color w:val="621B40"/>
              </w:rPr>
            </w:pPr>
            <w:r>
              <w:rPr>
                <w:color w:val="621B40"/>
              </w:rPr>
              <w:t>FEC/</w:t>
            </w:r>
            <w:r w:rsidR="00F4732F">
              <w:rPr>
                <w:color w:val="621B40"/>
              </w:rPr>
              <w:t>4/22</w:t>
            </w:r>
            <w:r w:rsidR="00D428C7">
              <w:rPr>
                <w:color w:val="621B40"/>
              </w:rPr>
              <w:t>/</w:t>
            </w:r>
            <w:r w:rsidR="00004309">
              <w:rPr>
                <w:color w:val="621B40"/>
              </w:rPr>
              <w:t>4</w:t>
            </w:r>
          </w:p>
        </w:tc>
      </w:tr>
      <w:tr w:rsidR="00886889" w14:paraId="58EE2606" w14:textId="77777777" w:rsidTr="00130AB7">
        <w:tblPrEx>
          <w:tblBorders>
            <w:top w:val="single" w:sz="4" w:space="0" w:color="auto"/>
            <w:bottom w:val="single" w:sz="4" w:space="0" w:color="auto"/>
          </w:tblBorders>
        </w:tblPrEx>
        <w:trPr>
          <w:trHeight w:val="164"/>
        </w:trPr>
        <w:tc>
          <w:tcPr>
            <w:tcW w:w="851" w:type="dxa"/>
            <w:tcBorders>
              <w:top w:val="single" w:sz="4" w:space="0" w:color="auto"/>
              <w:bottom w:val="single" w:sz="4" w:space="0" w:color="auto"/>
            </w:tcBorders>
          </w:tcPr>
          <w:p w14:paraId="634D78C0" w14:textId="10D8A694" w:rsidR="00886889" w:rsidRPr="003B340B" w:rsidRDefault="00130AB7" w:rsidP="00886889">
            <w:pPr>
              <w:spacing w:before="60" w:after="60"/>
              <w:ind w:left="-108" w:right="-108"/>
              <w:jc w:val="right"/>
            </w:pPr>
            <w:r>
              <w:t>4.1</w:t>
            </w:r>
          </w:p>
        </w:tc>
        <w:tc>
          <w:tcPr>
            <w:tcW w:w="8788" w:type="dxa"/>
            <w:gridSpan w:val="5"/>
            <w:tcBorders>
              <w:top w:val="single" w:sz="4" w:space="0" w:color="auto"/>
              <w:bottom w:val="single" w:sz="4" w:space="0" w:color="auto"/>
            </w:tcBorders>
          </w:tcPr>
          <w:p w14:paraId="2E1E3BF0" w14:textId="4A7A5CA9" w:rsidR="00886889" w:rsidRPr="00D428C7" w:rsidRDefault="00287EFB" w:rsidP="00886889">
            <w:pPr>
              <w:pStyle w:val="Default"/>
              <w:autoSpaceDE/>
              <w:autoSpaceDN/>
              <w:adjustRightInd/>
              <w:spacing w:before="60" w:after="60"/>
              <w:rPr>
                <w:sz w:val="22"/>
                <w:szCs w:val="22"/>
              </w:rPr>
            </w:pPr>
            <w:r>
              <w:rPr>
                <w:sz w:val="22"/>
                <w:szCs w:val="22"/>
              </w:rPr>
              <w:t xml:space="preserve">The Committee received an update from the DVCSO on </w:t>
            </w:r>
            <w:r w:rsidR="00E96B9E">
              <w:rPr>
                <w:sz w:val="22"/>
                <w:szCs w:val="22"/>
              </w:rPr>
              <w:t xml:space="preserve">progress with </w:t>
            </w:r>
            <w:r>
              <w:rPr>
                <w:sz w:val="22"/>
                <w:szCs w:val="22"/>
              </w:rPr>
              <w:t>recruitment to the Group Director of Estates and Facilities post.</w:t>
            </w:r>
            <w:r w:rsidR="005166E4">
              <w:rPr>
                <w:sz w:val="22"/>
                <w:szCs w:val="22"/>
              </w:rPr>
              <w:t xml:space="preserve"> </w:t>
            </w:r>
          </w:p>
        </w:tc>
      </w:tr>
      <w:tr w:rsidR="00130AB7" w14:paraId="71838867" w14:textId="77777777" w:rsidTr="00130AB7">
        <w:tblPrEx>
          <w:tblBorders>
            <w:top w:val="single" w:sz="4" w:space="0" w:color="auto"/>
            <w:bottom w:val="single" w:sz="4" w:space="0" w:color="auto"/>
          </w:tblBorders>
        </w:tblPrEx>
        <w:trPr>
          <w:trHeight w:val="164"/>
        </w:trPr>
        <w:tc>
          <w:tcPr>
            <w:tcW w:w="851" w:type="dxa"/>
            <w:tcBorders>
              <w:top w:val="single" w:sz="4" w:space="0" w:color="auto"/>
              <w:bottom w:val="single" w:sz="4" w:space="0" w:color="auto"/>
            </w:tcBorders>
          </w:tcPr>
          <w:p w14:paraId="36825CDB" w14:textId="6B779576" w:rsidR="00130AB7" w:rsidRDefault="00130AB7" w:rsidP="00886889">
            <w:pPr>
              <w:spacing w:before="60" w:after="60"/>
              <w:ind w:left="-108" w:right="-108"/>
              <w:jc w:val="right"/>
            </w:pPr>
            <w:r>
              <w:t>4.2</w:t>
            </w:r>
          </w:p>
        </w:tc>
        <w:tc>
          <w:tcPr>
            <w:tcW w:w="8788" w:type="dxa"/>
            <w:gridSpan w:val="5"/>
            <w:tcBorders>
              <w:top w:val="single" w:sz="4" w:space="0" w:color="auto"/>
              <w:bottom w:val="single" w:sz="4" w:space="0" w:color="auto"/>
            </w:tcBorders>
          </w:tcPr>
          <w:p w14:paraId="42311F1E" w14:textId="7B83A73A" w:rsidR="00130AB7" w:rsidRDefault="00130AB7" w:rsidP="00886889">
            <w:pPr>
              <w:pStyle w:val="Default"/>
              <w:autoSpaceDE/>
              <w:autoSpaceDN/>
              <w:adjustRightInd/>
              <w:spacing w:before="60" w:after="60"/>
              <w:rPr>
                <w:sz w:val="22"/>
                <w:szCs w:val="22"/>
              </w:rPr>
            </w:pPr>
            <w:r>
              <w:rPr>
                <w:sz w:val="22"/>
                <w:szCs w:val="22"/>
              </w:rPr>
              <w:t>A confidential minute was recorded.</w:t>
            </w:r>
          </w:p>
        </w:tc>
      </w:tr>
      <w:tr w:rsidR="00130AB7" w14:paraId="736712E1" w14:textId="77777777" w:rsidTr="00130AB7">
        <w:tblPrEx>
          <w:tblBorders>
            <w:top w:val="single" w:sz="4" w:space="0" w:color="auto"/>
            <w:bottom w:val="single" w:sz="4" w:space="0" w:color="auto"/>
          </w:tblBorders>
        </w:tblPrEx>
        <w:trPr>
          <w:trHeight w:val="164"/>
        </w:trPr>
        <w:tc>
          <w:tcPr>
            <w:tcW w:w="851" w:type="dxa"/>
            <w:tcBorders>
              <w:top w:val="single" w:sz="4" w:space="0" w:color="auto"/>
              <w:bottom w:val="single" w:sz="4" w:space="0" w:color="auto"/>
            </w:tcBorders>
          </w:tcPr>
          <w:p w14:paraId="060DD922" w14:textId="01649F03" w:rsidR="00130AB7" w:rsidRDefault="00130AB7" w:rsidP="00886889">
            <w:pPr>
              <w:spacing w:before="60" w:after="60"/>
              <w:ind w:left="-108" w:right="-108"/>
              <w:jc w:val="right"/>
            </w:pPr>
            <w:r>
              <w:t>4.3</w:t>
            </w:r>
          </w:p>
        </w:tc>
        <w:tc>
          <w:tcPr>
            <w:tcW w:w="8788" w:type="dxa"/>
            <w:gridSpan w:val="5"/>
            <w:tcBorders>
              <w:top w:val="single" w:sz="4" w:space="0" w:color="auto"/>
              <w:bottom w:val="single" w:sz="4" w:space="0" w:color="auto"/>
            </w:tcBorders>
          </w:tcPr>
          <w:p w14:paraId="5C4F907E" w14:textId="1EAC13A5" w:rsidR="00130AB7" w:rsidRDefault="00130AB7" w:rsidP="00886889">
            <w:pPr>
              <w:pStyle w:val="Default"/>
              <w:autoSpaceDE/>
              <w:autoSpaceDN/>
              <w:adjustRightInd/>
              <w:spacing w:before="60" w:after="60"/>
              <w:rPr>
                <w:sz w:val="22"/>
                <w:szCs w:val="22"/>
              </w:rPr>
            </w:pPr>
            <w:r>
              <w:rPr>
                <w:sz w:val="22"/>
                <w:szCs w:val="22"/>
              </w:rPr>
              <w:t>Pending a permanent appointment, an interim internal arrangement was in place with the Director of Transformation overseeing the Estates elements and the Group Director for Student and Academic Services overseeing Facilities. It was highlighted that this arrangement was supported by an effective, experienced team below Director level coupled with oversight of construction work delivery by the Hallam Alliance.</w:t>
            </w:r>
          </w:p>
        </w:tc>
      </w:tr>
      <w:tr w:rsidR="00326C35" w:rsidRPr="005566E3" w14:paraId="1C02A773"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D9D9D9" w:themeFill="background1" w:themeFillShade="D9"/>
          </w:tcPr>
          <w:p w14:paraId="7F6C7ADE" w14:textId="77777777" w:rsidR="00326C35" w:rsidRPr="005566E3" w:rsidRDefault="00326C35" w:rsidP="00326C35">
            <w:pPr>
              <w:ind w:left="-108" w:right="-102"/>
              <w:jc w:val="right"/>
              <w:rPr>
                <w:color w:val="621B40"/>
                <w:sz w:val="16"/>
                <w:szCs w:val="16"/>
              </w:rPr>
            </w:pPr>
            <w:r w:rsidRPr="005566E3">
              <w:rPr>
                <w:color w:val="621B40"/>
                <w:sz w:val="16"/>
                <w:szCs w:val="16"/>
              </w:rPr>
              <w:t>Agenda item</w:t>
            </w:r>
          </w:p>
          <w:p w14:paraId="7FB282B1" w14:textId="77777777" w:rsidR="00326C35" w:rsidRPr="005566E3" w:rsidRDefault="00326C35" w:rsidP="00326C35">
            <w:pPr>
              <w:ind w:left="-108" w:right="-102"/>
              <w:jc w:val="right"/>
              <w:rPr>
                <w:color w:val="621B40"/>
                <w:sz w:val="16"/>
                <w:szCs w:val="16"/>
              </w:rPr>
            </w:pPr>
            <w:r w:rsidRPr="005566E3">
              <w:rPr>
                <w:color w:val="621B40"/>
                <w:sz w:val="16"/>
                <w:szCs w:val="16"/>
              </w:rPr>
              <w:t>Paper Ref</w:t>
            </w:r>
          </w:p>
        </w:tc>
        <w:tc>
          <w:tcPr>
            <w:tcW w:w="1278" w:type="dxa"/>
            <w:tcBorders>
              <w:top w:val="single" w:sz="4" w:space="0" w:color="auto"/>
              <w:bottom w:val="single" w:sz="4" w:space="0" w:color="auto"/>
            </w:tcBorders>
            <w:shd w:val="clear" w:color="auto" w:fill="D9D9D9" w:themeFill="background1" w:themeFillShade="D9"/>
          </w:tcPr>
          <w:p w14:paraId="7E4CBDCD" w14:textId="09DCE373" w:rsidR="00326C35" w:rsidRDefault="00326C35" w:rsidP="00326C35">
            <w:pPr>
              <w:rPr>
                <w:color w:val="621B40"/>
                <w:sz w:val="16"/>
                <w:szCs w:val="16"/>
              </w:rPr>
            </w:pPr>
            <w:r>
              <w:rPr>
                <w:color w:val="621B40"/>
                <w:sz w:val="16"/>
                <w:szCs w:val="16"/>
              </w:rPr>
              <w:t>5</w:t>
            </w:r>
          </w:p>
          <w:p w14:paraId="611A6B44" w14:textId="7A0E72FD" w:rsidR="00326C35" w:rsidRPr="5904D6BD" w:rsidRDefault="00326C35" w:rsidP="00326C35">
            <w:pPr>
              <w:rPr>
                <w:color w:val="621B40"/>
                <w:sz w:val="16"/>
                <w:szCs w:val="16"/>
              </w:rPr>
            </w:pPr>
          </w:p>
        </w:tc>
        <w:tc>
          <w:tcPr>
            <w:tcW w:w="5242" w:type="dxa"/>
            <w:gridSpan w:val="2"/>
            <w:tcBorders>
              <w:top w:val="single" w:sz="4" w:space="0" w:color="auto"/>
              <w:bottom w:val="single" w:sz="4" w:space="0" w:color="auto"/>
            </w:tcBorders>
            <w:shd w:val="clear" w:color="auto" w:fill="D9D9D9" w:themeFill="background1" w:themeFillShade="D9"/>
          </w:tcPr>
          <w:p w14:paraId="4D91EB0A" w14:textId="24185C85" w:rsidR="00326C35" w:rsidRPr="5904D6BD" w:rsidRDefault="00326C35" w:rsidP="00326C35">
            <w:pPr>
              <w:rPr>
                <w:b/>
                <w:bCs/>
                <w:color w:val="621B40"/>
              </w:rPr>
            </w:pPr>
            <w:r>
              <w:rPr>
                <w:b/>
                <w:bCs/>
                <w:color w:val="621B40"/>
              </w:rPr>
              <w:t>Chair’s Business</w:t>
            </w:r>
          </w:p>
        </w:tc>
        <w:tc>
          <w:tcPr>
            <w:tcW w:w="709" w:type="dxa"/>
            <w:tcBorders>
              <w:top w:val="single" w:sz="4" w:space="0" w:color="auto"/>
              <w:bottom w:val="single" w:sz="4" w:space="0" w:color="auto"/>
            </w:tcBorders>
            <w:shd w:val="clear" w:color="auto" w:fill="D9D9D9" w:themeFill="background1" w:themeFillShade="D9"/>
          </w:tcPr>
          <w:p w14:paraId="71F2C894" w14:textId="77777777" w:rsidR="00326C35" w:rsidRPr="005566E3" w:rsidRDefault="00326C35" w:rsidP="00326C35">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0A05CFD4" w14:textId="55D42D58" w:rsidR="00326C35" w:rsidRPr="008D470E" w:rsidRDefault="00EB7DB8" w:rsidP="00326C35">
            <w:pPr>
              <w:rPr>
                <w:color w:val="621B40"/>
              </w:rPr>
            </w:pPr>
            <w:r>
              <w:rPr>
                <w:color w:val="621B40"/>
              </w:rPr>
              <w:t>FEC/</w:t>
            </w:r>
            <w:r w:rsidR="00F4732F">
              <w:rPr>
                <w:color w:val="621B40"/>
              </w:rPr>
              <w:t>4/22</w:t>
            </w:r>
            <w:r w:rsidR="00326C35">
              <w:rPr>
                <w:color w:val="621B40"/>
              </w:rPr>
              <w:t>/5</w:t>
            </w:r>
          </w:p>
        </w:tc>
      </w:tr>
      <w:tr w:rsidR="00326C35" w14:paraId="06F61A1E"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tcPr>
          <w:p w14:paraId="2CDE996E" w14:textId="3D3325B7" w:rsidR="00326C35" w:rsidRPr="003B340B" w:rsidRDefault="00326C35" w:rsidP="00326C35">
            <w:pPr>
              <w:spacing w:before="60" w:after="60"/>
              <w:ind w:left="-108" w:right="-108"/>
              <w:jc w:val="right"/>
            </w:pPr>
            <w:r>
              <w:t>5.1</w:t>
            </w:r>
          </w:p>
        </w:tc>
        <w:tc>
          <w:tcPr>
            <w:tcW w:w="8788" w:type="dxa"/>
            <w:gridSpan w:val="5"/>
            <w:tcBorders>
              <w:top w:val="single" w:sz="4" w:space="0" w:color="auto"/>
              <w:bottom w:val="single" w:sz="4" w:space="0" w:color="auto"/>
            </w:tcBorders>
          </w:tcPr>
          <w:p w14:paraId="72B0E2B4" w14:textId="794781CE" w:rsidR="00326C35" w:rsidRPr="00D428C7" w:rsidRDefault="00E47DE9" w:rsidP="00326C35">
            <w:pPr>
              <w:pStyle w:val="Default"/>
              <w:autoSpaceDE/>
              <w:autoSpaceDN/>
              <w:adjustRightInd/>
              <w:spacing w:before="60" w:after="60"/>
              <w:rPr>
                <w:sz w:val="22"/>
                <w:szCs w:val="22"/>
              </w:rPr>
            </w:pPr>
            <w:r>
              <w:rPr>
                <w:sz w:val="22"/>
                <w:szCs w:val="22"/>
              </w:rPr>
              <w:t>The Chair confirmed that</w:t>
            </w:r>
            <w:r w:rsidR="00BA16FF">
              <w:rPr>
                <w:sz w:val="22"/>
                <w:szCs w:val="22"/>
              </w:rPr>
              <w:t xml:space="preserve"> they would be retiring from the Board </w:t>
            </w:r>
            <w:r w:rsidR="00CE48F5">
              <w:rPr>
                <w:sz w:val="22"/>
                <w:szCs w:val="22"/>
              </w:rPr>
              <w:t xml:space="preserve">of Governors (BofG) </w:t>
            </w:r>
            <w:r w:rsidR="00BA16FF">
              <w:rPr>
                <w:sz w:val="22"/>
                <w:szCs w:val="22"/>
              </w:rPr>
              <w:t>at the end of July 2023</w:t>
            </w:r>
            <w:r w:rsidR="00E96B9E">
              <w:rPr>
                <w:sz w:val="22"/>
                <w:szCs w:val="22"/>
              </w:rPr>
              <w:t xml:space="preserve"> and would complete their </w:t>
            </w:r>
            <w:r w:rsidR="00BA16FF">
              <w:rPr>
                <w:sz w:val="22"/>
                <w:szCs w:val="22"/>
              </w:rPr>
              <w:t>term as Chair</w:t>
            </w:r>
            <w:r w:rsidR="00E96B9E">
              <w:rPr>
                <w:sz w:val="22"/>
                <w:szCs w:val="22"/>
              </w:rPr>
              <w:t xml:space="preserve"> of FEC</w:t>
            </w:r>
            <w:r w:rsidR="00BA16FF">
              <w:rPr>
                <w:sz w:val="22"/>
                <w:szCs w:val="22"/>
              </w:rPr>
              <w:t xml:space="preserve"> at </w:t>
            </w:r>
            <w:r w:rsidR="00E96B9E">
              <w:rPr>
                <w:sz w:val="22"/>
                <w:szCs w:val="22"/>
              </w:rPr>
              <w:t xml:space="preserve">the </w:t>
            </w:r>
            <w:r w:rsidR="00BA16FF">
              <w:rPr>
                <w:sz w:val="22"/>
                <w:szCs w:val="22"/>
              </w:rPr>
              <w:t>end</w:t>
            </w:r>
            <w:r w:rsidR="00F466BB">
              <w:rPr>
                <w:sz w:val="22"/>
                <w:szCs w:val="22"/>
              </w:rPr>
              <w:t xml:space="preserve"> of December. Members were briefed by t</w:t>
            </w:r>
            <w:r w:rsidR="00E96B9E">
              <w:rPr>
                <w:sz w:val="22"/>
                <w:szCs w:val="22"/>
              </w:rPr>
              <w:t xml:space="preserve">he </w:t>
            </w:r>
            <w:r w:rsidR="00BA16FF">
              <w:rPr>
                <w:sz w:val="22"/>
                <w:szCs w:val="22"/>
              </w:rPr>
              <w:t xml:space="preserve">University Secretary on the </w:t>
            </w:r>
            <w:r w:rsidR="00CE48F5">
              <w:rPr>
                <w:sz w:val="22"/>
                <w:szCs w:val="22"/>
              </w:rPr>
              <w:t xml:space="preserve">Governance and Nominations Committee’s </w:t>
            </w:r>
            <w:r>
              <w:rPr>
                <w:sz w:val="22"/>
                <w:szCs w:val="22"/>
              </w:rPr>
              <w:t>p</w:t>
            </w:r>
            <w:r w:rsidR="00287EFB">
              <w:rPr>
                <w:sz w:val="22"/>
                <w:szCs w:val="22"/>
              </w:rPr>
              <w:t>roposals for Chair</w:t>
            </w:r>
            <w:r w:rsidR="00BA16FF">
              <w:rPr>
                <w:sz w:val="22"/>
                <w:szCs w:val="22"/>
              </w:rPr>
              <w:t xml:space="preserve"> </w:t>
            </w:r>
            <w:r w:rsidR="00F466BB">
              <w:rPr>
                <w:sz w:val="22"/>
                <w:szCs w:val="22"/>
              </w:rPr>
              <w:t xml:space="preserve">which </w:t>
            </w:r>
            <w:r w:rsidR="00CE48F5">
              <w:rPr>
                <w:sz w:val="22"/>
                <w:szCs w:val="22"/>
              </w:rPr>
              <w:t>were being</w:t>
            </w:r>
            <w:r w:rsidR="00671029">
              <w:rPr>
                <w:sz w:val="22"/>
                <w:szCs w:val="22"/>
              </w:rPr>
              <w:t xml:space="preserve"> recommend</w:t>
            </w:r>
            <w:r w:rsidR="00CE48F5">
              <w:rPr>
                <w:sz w:val="22"/>
                <w:szCs w:val="22"/>
              </w:rPr>
              <w:t xml:space="preserve">ed </w:t>
            </w:r>
            <w:r w:rsidR="00671029">
              <w:rPr>
                <w:sz w:val="22"/>
                <w:szCs w:val="22"/>
              </w:rPr>
              <w:t>to</w:t>
            </w:r>
            <w:r w:rsidR="00F466BB">
              <w:rPr>
                <w:sz w:val="22"/>
                <w:szCs w:val="22"/>
              </w:rPr>
              <w:t xml:space="preserve"> the July meeting of the </w:t>
            </w:r>
            <w:r w:rsidR="00CE48F5">
              <w:rPr>
                <w:sz w:val="22"/>
                <w:szCs w:val="22"/>
              </w:rPr>
              <w:t>BofG.</w:t>
            </w:r>
            <w:r w:rsidR="0015088E" w:rsidRPr="0015088E">
              <w:rPr>
                <w:sz w:val="22"/>
                <w:szCs w:val="22"/>
              </w:rPr>
              <w:t xml:space="preserve"> It was </w:t>
            </w:r>
            <w:r w:rsidR="0015088E" w:rsidRPr="0015088E">
              <w:rPr>
                <w:sz w:val="22"/>
                <w:szCs w:val="22"/>
              </w:rPr>
              <w:lastRenderedPageBreak/>
              <w:t>noted that a Deputy Chair would need t</w:t>
            </w:r>
            <w:r w:rsidR="00671029">
              <w:rPr>
                <w:sz w:val="22"/>
                <w:szCs w:val="22"/>
              </w:rPr>
              <w:t>o be in place for</w:t>
            </w:r>
            <w:r w:rsidR="0015088E" w:rsidRPr="0015088E">
              <w:rPr>
                <w:sz w:val="22"/>
                <w:szCs w:val="22"/>
              </w:rPr>
              <w:t xml:space="preserve"> the September meeting given the current incumbent’s retirement on 31 July 2022.</w:t>
            </w:r>
            <w:r w:rsidR="0015088E">
              <w:rPr>
                <w:sz w:val="22"/>
                <w:szCs w:val="22"/>
              </w:rPr>
              <w:t xml:space="preserve"> </w:t>
            </w:r>
          </w:p>
        </w:tc>
      </w:tr>
      <w:tr w:rsidR="00130AB7" w14:paraId="06B3BC22"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tcPr>
          <w:p w14:paraId="04980EAE" w14:textId="002A7E9A" w:rsidR="00130AB7" w:rsidRDefault="00130AB7" w:rsidP="00326C35">
            <w:pPr>
              <w:spacing w:before="60" w:after="60"/>
              <w:ind w:left="-108" w:right="-108"/>
              <w:jc w:val="right"/>
            </w:pPr>
            <w:r>
              <w:lastRenderedPageBreak/>
              <w:t>5.2</w:t>
            </w:r>
          </w:p>
        </w:tc>
        <w:tc>
          <w:tcPr>
            <w:tcW w:w="8788" w:type="dxa"/>
            <w:gridSpan w:val="5"/>
            <w:tcBorders>
              <w:top w:val="single" w:sz="4" w:space="0" w:color="auto"/>
              <w:bottom w:val="single" w:sz="4" w:space="0" w:color="auto"/>
            </w:tcBorders>
          </w:tcPr>
          <w:p w14:paraId="5877CB01" w14:textId="53419051" w:rsidR="00130AB7" w:rsidRDefault="00130AB7" w:rsidP="00326C35">
            <w:pPr>
              <w:pStyle w:val="Default"/>
              <w:autoSpaceDE/>
              <w:autoSpaceDN/>
              <w:adjustRightInd/>
              <w:spacing w:before="60" w:after="60"/>
              <w:rPr>
                <w:sz w:val="22"/>
                <w:szCs w:val="22"/>
              </w:rPr>
            </w:pPr>
            <w:r>
              <w:rPr>
                <w:sz w:val="22"/>
                <w:szCs w:val="22"/>
              </w:rPr>
              <w:t>A confidential minute was recorded.</w:t>
            </w:r>
          </w:p>
        </w:tc>
      </w:tr>
      <w:tr w:rsidR="00886889" w:rsidRPr="008D470E" w14:paraId="7C034ECC"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D9D9D9" w:themeFill="background1" w:themeFillShade="D9"/>
          </w:tcPr>
          <w:p w14:paraId="6F397B13" w14:textId="77777777" w:rsidR="00886889" w:rsidRPr="005566E3" w:rsidRDefault="00886889" w:rsidP="00886889">
            <w:pPr>
              <w:ind w:left="-108" w:right="-102"/>
              <w:jc w:val="right"/>
              <w:rPr>
                <w:color w:val="621B40"/>
                <w:sz w:val="16"/>
                <w:szCs w:val="16"/>
              </w:rPr>
            </w:pPr>
            <w:r w:rsidRPr="005566E3">
              <w:rPr>
                <w:color w:val="621B40"/>
                <w:sz w:val="16"/>
                <w:szCs w:val="16"/>
              </w:rPr>
              <w:t>Agenda item</w:t>
            </w:r>
          </w:p>
          <w:p w14:paraId="0B336D6F" w14:textId="77777777" w:rsidR="00886889" w:rsidRPr="005566E3" w:rsidRDefault="00886889" w:rsidP="00886889">
            <w:pPr>
              <w:ind w:left="-108" w:right="-102"/>
              <w:jc w:val="right"/>
              <w:rPr>
                <w:color w:val="621B40"/>
                <w:sz w:val="16"/>
                <w:szCs w:val="16"/>
              </w:rPr>
            </w:pPr>
            <w:r w:rsidRPr="005566E3">
              <w:rPr>
                <w:color w:val="621B40"/>
                <w:sz w:val="16"/>
                <w:szCs w:val="16"/>
              </w:rPr>
              <w:t>Paper Ref</w:t>
            </w:r>
          </w:p>
        </w:tc>
        <w:tc>
          <w:tcPr>
            <w:tcW w:w="1278" w:type="dxa"/>
            <w:tcBorders>
              <w:top w:val="single" w:sz="4" w:space="0" w:color="auto"/>
              <w:bottom w:val="single" w:sz="4" w:space="0" w:color="auto"/>
            </w:tcBorders>
            <w:shd w:val="clear" w:color="auto" w:fill="D9D9D9" w:themeFill="background1" w:themeFillShade="D9"/>
          </w:tcPr>
          <w:p w14:paraId="4EF9F398" w14:textId="46F57872" w:rsidR="00886889" w:rsidRDefault="00886889" w:rsidP="00886889">
            <w:pPr>
              <w:rPr>
                <w:color w:val="621B40"/>
                <w:sz w:val="16"/>
                <w:szCs w:val="16"/>
              </w:rPr>
            </w:pPr>
            <w:r>
              <w:rPr>
                <w:color w:val="621B40"/>
                <w:sz w:val="16"/>
                <w:szCs w:val="16"/>
              </w:rPr>
              <w:t>5</w:t>
            </w:r>
          </w:p>
          <w:p w14:paraId="6602F7DE" w14:textId="77777777" w:rsidR="00886889" w:rsidRDefault="00886889" w:rsidP="00886889">
            <w:pPr>
              <w:rPr>
                <w:color w:val="621B40"/>
                <w:sz w:val="16"/>
                <w:szCs w:val="16"/>
              </w:rPr>
            </w:pPr>
          </w:p>
        </w:tc>
        <w:tc>
          <w:tcPr>
            <w:tcW w:w="5242" w:type="dxa"/>
            <w:gridSpan w:val="2"/>
            <w:tcBorders>
              <w:top w:val="single" w:sz="4" w:space="0" w:color="auto"/>
              <w:bottom w:val="single" w:sz="4" w:space="0" w:color="auto"/>
            </w:tcBorders>
            <w:shd w:val="clear" w:color="auto" w:fill="D9D9D9" w:themeFill="background1" w:themeFillShade="D9"/>
          </w:tcPr>
          <w:p w14:paraId="1AEBDDD6" w14:textId="77777777" w:rsidR="00886889" w:rsidRDefault="00886889" w:rsidP="00886889">
            <w:pPr>
              <w:rPr>
                <w:b/>
                <w:bCs/>
                <w:color w:val="621B40"/>
              </w:rPr>
            </w:pPr>
            <w:r>
              <w:rPr>
                <w:b/>
                <w:bCs/>
                <w:color w:val="621B40"/>
              </w:rPr>
              <w:t xml:space="preserve">Strategic Opportunity </w:t>
            </w:r>
          </w:p>
        </w:tc>
        <w:tc>
          <w:tcPr>
            <w:tcW w:w="709" w:type="dxa"/>
            <w:tcBorders>
              <w:top w:val="single" w:sz="4" w:space="0" w:color="auto"/>
              <w:bottom w:val="single" w:sz="4" w:space="0" w:color="auto"/>
            </w:tcBorders>
            <w:shd w:val="clear" w:color="auto" w:fill="D9D9D9" w:themeFill="background1" w:themeFillShade="D9"/>
          </w:tcPr>
          <w:p w14:paraId="65AA1A94" w14:textId="77777777" w:rsidR="00886889" w:rsidRPr="005566E3" w:rsidRDefault="00886889" w:rsidP="00886889">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49CA96AD" w14:textId="6C26781C" w:rsidR="00886889" w:rsidRPr="008D470E" w:rsidRDefault="00EB7DB8" w:rsidP="00886889">
            <w:pPr>
              <w:rPr>
                <w:color w:val="621B40"/>
              </w:rPr>
            </w:pPr>
            <w:r>
              <w:rPr>
                <w:color w:val="621B40"/>
              </w:rPr>
              <w:t>FEC/</w:t>
            </w:r>
            <w:r w:rsidR="00F4732F">
              <w:rPr>
                <w:color w:val="621B40"/>
              </w:rPr>
              <w:t>4/22</w:t>
            </w:r>
            <w:r w:rsidR="00886889">
              <w:rPr>
                <w:color w:val="621B40"/>
              </w:rPr>
              <w:t>/</w:t>
            </w:r>
            <w:r w:rsidR="00326C35">
              <w:rPr>
                <w:color w:val="621B40"/>
              </w:rPr>
              <w:t>6</w:t>
            </w:r>
          </w:p>
        </w:tc>
      </w:tr>
      <w:tr w:rsidR="00886889" w:rsidRPr="005566E3" w14:paraId="6A383E48"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25F2F427" w14:textId="16BF4EF5" w:rsidR="00886889" w:rsidRPr="007D0C21" w:rsidRDefault="00326C35" w:rsidP="00886889">
            <w:pPr>
              <w:spacing w:before="60" w:after="60"/>
              <w:ind w:left="-108" w:right="-102"/>
              <w:jc w:val="right"/>
            </w:pPr>
            <w:r>
              <w:t>6</w:t>
            </w:r>
            <w:r w:rsidR="00886889">
              <w:t>.1</w:t>
            </w:r>
          </w:p>
        </w:tc>
        <w:tc>
          <w:tcPr>
            <w:tcW w:w="8788" w:type="dxa"/>
            <w:gridSpan w:val="5"/>
            <w:tcBorders>
              <w:top w:val="single" w:sz="4" w:space="0" w:color="auto"/>
              <w:bottom w:val="single" w:sz="4" w:space="0" w:color="auto"/>
            </w:tcBorders>
            <w:shd w:val="clear" w:color="auto" w:fill="auto"/>
          </w:tcPr>
          <w:p w14:paraId="748D425F" w14:textId="77777777" w:rsidR="00886889" w:rsidRPr="0065504F" w:rsidRDefault="00886889" w:rsidP="00886889">
            <w:pPr>
              <w:tabs>
                <w:tab w:val="left" w:pos="720"/>
                <w:tab w:val="left" w:pos="1440"/>
                <w:tab w:val="left" w:pos="2160"/>
                <w:tab w:val="left" w:pos="2790"/>
                <w:tab w:val="right" w:pos="9000"/>
              </w:tabs>
              <w:spacing w:before="60" w:after="60"/>
              <w:rPr>
                <w:highlight w:val="yellow"/>
              </w:rPr>
            </w:pPr>
            <w:r>
              <w:t xml:space="preserve">The Deputy Vice-Chancellor (Strategy and Operations) (DVCSO) updated the Committee on the status of the Strategic Opportunity (the Opportunity). </w:t>
            </w:r>
          </w:p>
        </w:tc>
      </w:tr>
      <w:tr w:rsidR="002403AA" w:rsidRPr="005566E3" w14:paraId="4DF5E9A7"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0ABA2F18" w14:textId="1FFA396E" w:rsidR="002403AA" w:rsidRDefault="002403AA" w:rsidP="002403AA">
            <w:pPr>
              <w:spacing w:before="60" w:after="60"/>
              <w:ind w:left="-108" w:right="-102"/>
              <w:jc w:val="right"/>
            </w:pPr>
            <w:r>
              <w:t>6.2</w:t>
            </w:r>
          </w:p>
        </w:tc>
        <w:tc>
          <w:tcPr>
            <w:tcW w:w="8788" w:type="dxa"/>
            <w:gridSpan w:val="5"/>
            <w:tcBorders>
              <w:top w:val="single" w:sz="4" w:space="0" w:color="auto"/>
              <w:bottom w:val="single" w:sz="4" w:space="0" w:color="auto"/>
            </w:tcBorders>
            <w:shd w:val="clear" w:color="auto" w:fill="auto"/>
          </w:tcPr>
          <w:p w14:paraId="23AD6484" w14:textId="46D611E2" w:rsidR="002403AA" w:rsidRPr="00CE48F5" w:rsidRDefault="002403AA" w:rsidP="002403AA">
            <w:pPr>
              <w:tabs>
                <w:tab w:val="left" w:pos="720"/>
                <w:tab w:val="left" w:pos="1440"/>
                <w:tab w:val="left" w:pos="2160"/>
                <w:tab w:val="left" w:pos="2790"/>
                <w:tab w:val="right" w:pos="9000"/>
              </w:tabs>
              <w:spacing w:before="60" w:after="60"/>
              <w:rPr>
                <w:highlight w:val="yellow"/>
              </w:rPr>
            </w:pPr>
            <w:r>
              <w:t>A confidential minute was recorded.</w:t>
            </w:r>
          </w:p>
        </w:tc>
      </w:tr>
      <w:tr w:rsidR="002403AA" w:rsidRPr="005566E3" w14:paraId="154EBA11"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D9D9D9" w:themeFill="background1" w:themeFillShade="D9"/>
          </w:tcPr>
          <w:p w14:paraId="34D9BFDC" w14:textId="77777777" w:rsidR="002403AA" w:rsidRPr="005566E3" w:rsidRDefault="002403AA" w:rsidP="002403AA">
            <w:pPr>
              <w:ind w:left="-108" w:right="-102"/>
              <w:jc w:val="right"/>
              <w:rPr>
                <w:color w:val="621B40"/>
                <w:sz w:val="16"/>
                <w:szCs w:val="16"/>
              </w:rPr>
            </w:pPr>
            <w:r w:rsidRPr="005566E3">
              <w:rPr>
                <w:color w:val="621B40"/>
                <w:sz w:val="16"/>
                <w:szCs w:val="16"/>
              </w:rPr>
              <w:t>Agenda it</w:t>
            </w:r>
            <w:r>
              <w:rPr>
                <w:color w:val="621B40"/>
                <w:sz w:val="16"/>
                <w:szCs w:val="16"/>
              </w:rPr>
              <w:t>e</w:t>
            </w:r>
            <w:r w:rsidRPr="005566E3">
              <w:rPr>
                <w:color w:val="621B40"/>
                <w:sz w:val="16"/>
                <w:szCs w:val="16"/>
              </w:rPr>
              <w:t>m</w:t>
            </w:r>
          </w:p>
          <w:p w14:paraId="20A222B5" w14:textId="77777777" w:rsidR="002403AA" w:rsidRPr="005566E3" w:rsidRDefault="002403AA" w:rsidP="002403AA">
            <w:pPr>
              <w:ind w:left="-108" w:right="-102"/>
              <w:jc w:val="right"/>
              <w:rPr>
                <w:color w:val="621B40"/>
                <w:sz w:val="16"/>
                <w:szCs w:val="16"/>
              </w:rPr>
            </w:pPr>
            <w:r w:rsidRPr="005566E3">
              <w:rPr>
                <w:color w:val="621B40"/>
                <w:sz w:val="16"/>
                <w:szCs w:val="16"/>
              </w:rPr>
              <w:t>Paper Ref</w:t>
            </w:r>
          </w:p>
        </w:tc>
        <w:tc>
          <w:tcPr>
            <w:tcW w:w="1278" w:type="dxa"/>
            <w:tcBorders>
              <w:top w:val="single" w:sz="4" w:space="0" w:color="auto"/>
              <w:bottom w:val="single" w:sz="4" w:space="0" w:color="auto"/>
            </w:tcBorders>
            <w:shd w:val="clear" w:color="auto" w:fill="D9D9D9" w:themeFill="background1" w:themeFillShade="D9"/>
          </w:tcPr>
          <w:p w14:paraId="071A2DAF" w14:textId="03F4A3B5" w:rsidR="002403AA" w:rsidRDefault="002403AA" w:rsidP="002403AA">
            <w:pPr>
              <w:rPr>
                <w:color w:val="621B40"/>
                <w:sz w:val="16"/>
                <w:szCs w:val="16"/>
              </w:rPr>
            </w:pPr>
            <w:r>
              <w:rPr>
                <w:color w:val="621B40"/>
                <w:sz w:val="16"/>
                <w:szCs w:val="16"/>
              </w:rPr>
              <w:t>7</w:t>
            </w:r>
          </w:p>
          <w:p w14:paraId="12574155" w14:textId="5698565D" w:rsidR="002403AA" w:rsidRDefault="002403AA" w:rsidP="002403AA">
            <w:pPr>
              <w:rPr>
                <w:color w:val="621B40"/>
                <w:sz w:val="16"/>
                <w:szCs w:val="16"/>
              </w:rPr>
            </w:pPr>
            <w:r>
              <w:rPr>
                <w:color w:val="621B40"/>
                <w:sz w:val="16"/>
                <w:szCs w:val="16"/>
              </w:rPr>
              <w:t>FEC/4/22</w:t>
            </w:r>
            <w:r w:rsidRPr="003C63E3">
              <w:rPr>
                <w:color w:val="621B40"/>
                <w:sz w:val="16"/>
                <w:szCs w:val="16"/>
              </w:rPr>
              <w:t>/</w:t>
            </w:r>
            <w:r>
              <w:rPr>
                <w:color w:val="621B40"/>
                <w:sz w:val="16"/>
                <w:szCs w:val="16"/>
              </w:rPr>
              <w:t xml:space="preserve">6 Confidential </w:t>
            </w:r>
          </w:p>
        </w:tc>
        <w:tc>
          <w:tcPr>
            <w:tcW w:w="5242" w:type="dxa"/>
            <w:gridSpan w:val="2"/>
            <w:tcBorders>
              <w:top w:val="single" w:sz="4" w:space="0" w:color="auto"/>
              <w:bottom w:val="single" w:sz="4" w:space="0" w:color="auto"/>
            </w:tcBorders>
            <w:shd w:val="clear" w:color="auto" w:fill="D9D9D9" w:themeFill="background1" w:themeFillShade="D9"/>
          </w:tcPr>
          <w:p w14:paraId="38721A8B" w14:textId="7E6BA146" w:rsidR="002403AA" w:rsidRPr="00E764D2" w:rsidRDefault="002403AA" w:rsidP="002403AA">
            <w:pPr>
              <w:rPr>
                <w:b/>
                <w:bCs/>
                <w:color w:val="621B40"/>
              </w:rPr>
            </w:pPr>
            <w:r>
              <w:rPr>
                <w:b/>
                <w:bCs/>
                <w:color w:val="621B40"/>
              </w:rPr>
              <w:t>Technology Strategy Roadmap</w:t>
            </w:r>
          </w:p>
        </w:tc>
        <w:tc>
          <w:tcPr>
            <w:tcW w:w="709" w:type="dxa"/>
            <w:tcBorders>
              <w:top w:val="single" w:sz="4" w:space="0" w:color="auto"/>
              <w:bottom w:val="single" w:sz="4" w:space="0" w:color="auto"/>
            </w:tcBorders>
            <w:shd w:val="clear" w:color="auto" w:fill="D9D9D9" w:themeFill="background1" w:themeFillShade="D9"/>
          </w:tcPr>
          <w:p w14:paraId="0C7116F9" w14:textId="77777777" w:rsidR="002403AA" w:rsidRPr="005566E3" w:rsidRDefault="002403AA" w:rsidP="002403AA">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698B0514" w14:textId="0C8D39C6" w:rsidR="002403AA" w:rsidRPr="008D470E" w:rsidRDefault="002403AA" w:rsidP="002403AA">
            <w:pPr>
              <w:rPr>
                <w:color w:val="621B40"/>
              </w:rPr>
            </w:pPr>
            <w:r>
              <w:rPr>
                <w:color w:val="621B40"/>
              </w:rPr>
              <w:t>FEC/4/22/7</w:t>
            </w:r>
          </w:p>
        </w:tc>
      </w:tr>
      <w:tr w:rsidR="002403AA" w:rsidRPr="005566E3" w14:paraId="6C5B6150"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0844E3F0" w14:textId="370242D4" w:rsidR="002403AA" w:rsidRPr="007D0C21" w:rsidRDefault="002403AA" w:rsidP="002403AA">
            <w:pPr>
              <w:spacing w:before="60" w:after="60"/>
              <w:ind w:left="-108" w:right="-105"/>
              <w:jc w:val="right"/>
            </w:pPr>
            <w:r>
              <w:t>7.1</w:t>
            </w:r>
          </w:p>
        </w:tc>
        <w:tc>
          <w:tcPr>
            <w:tcW w:w="8788" w:type="dxa"/>
            <w:gridSpan w:val="5"/>
            <w:tcBorders>
              <w:top w:val="single" w:sz="4" w:space="0" w:color="auto"/>
              <w:bottom w:val="single" w:sz="4" w:space="0" w:color="auto"/>
            </w:tcBorders>
            <w:shd w:val="clear" w:color="auto" w:fill="auto"/>
          </w:tcPr>
          <w:p w14:paraId="6E18AEC6" w14:textId="4158C969" w:rsidR="002403AA" w:rsidRPr="002403AA" w:rsidRDefault="002403AA" w:rsidP="002403AA">
            <w:pPr>
              <w:spacing w:before="60" w:after="60"/>
            </w:pPr>
            <w:r w:rsidRPr="002403AA">
              <w:t>The Chair highlighted the Committee’s appetite to bring the digital elements of its remit into focus in the same way as its historic approach to the physical Estate. The Director of Transformation presented an update on the delivery of the Technology Strategy including:</w:t>
            </w:r>
          </w:p>
          <w:p w14:paraId="53C9E93A" w14:textId="1C1189A0" w:rsidR="002403AA" w:rsidRPr="002403AA" w:rsidRDefault="002403AA" w:rsidP="002403AA">
            <w:pPr>
              <w:pStyle w:val="ListParagraph"/>
              <w:numPr>
                <w:ilvl w:val="0"/>
                <w:numId w:val="12"/>
              </w:numPr>
              <w:spacing w:before="60" w:after="60"/>
            </w:pPr>
            <w:r w:rsidRPr="002403AA">
              <w:t>a reminder of purpose and aims of the Technology  Strategy which recognised the interlocking nature of technological and cultural change;</w:t>
            </w:r>
          </w:p>
          <w:p w14:paraId="4D2244F0" w14:textId="69DAEB55" w:rsidR="002403AA" w:rsidRPr="002403AA" w:rsidRDefault="002403AA" w:rsidP="002403AA">
            <w:pPr>
              <w:pStyle w:val="ListParagraph"/>
              <w:numPr>
                <w:ilvl w:val="0"/>
                <w:numId w:val="12"/>
              </w:numPr>
              <w:spacing w:before="60" w:after="60"/>
            </w:pPr>
            <w:r w:rsidRPr="002403AA">
              <w:t>the key areas of focus and achievements over last 4 years – completion of the Cloud Project, the Prospective Student CRM system and major upgrades of the HR and Finance systems and the web platform;</w:t>
            </w:r>
          </w:p>
          <w:p w14:paraId="74D3463B" w14:textId="0E83145E" w:rsidR="002403AA" w:rsidRPr="002403AA" w:rsidRDefault="002403AA" w:rsidP="002403AA">
            <w:pPr>
              <w:pStyle w:val="ListParagraph"/>
              <w:numPr>
                <w:ilvl w:val="0"/>
                <w:numId w:val="12"/>
              </w:numPr>
              <w:spacing w:before="60" w:after="60"/>
            </w:pPr>
            <w:r w:rsidRPr="002403AA">
              <w:t>current and planned actions in relation to the major applications that underpinned the University’s operations using solutions prominent in the HE sector;</w:t>
            </w:r>
          </w:p>
          <w:p w14:paraId="76833917" w14:textId="55B1109F" w:rsidR="002403AA" w:rsidRPr="002403AA" w:rsidRDefault="002403AA" w:rsidP="002403AA">
            <w:pPr>
              <w:pStyle w:val="ListParagraph"/>
              <w:numPr>
                <w:ilvl w:val="0"/>
                <w:numId w:val="12"/>
              </w:numPr>
              <w:spacing w:before="60" w:after="60"/>
            </w:pPr>
            <w:r w:rsidRPr="002403AA">
              <w:t>a new 2-year programme on processes and systems focussed on student record and relationship management to underpin both the Future Strategy Programme (FSP) Portfolio Plan and the externally-driven changes in reporting student data to HESA.</w:t>
            </w:r>
          </w:p>
          <w:p w14:paraId="4181ADC5" w14:textId="278BEC8F" w:rsidR="002403AA" w:rsidRPr="002403AA" w:rsidRDefault="002403AA" w:rsidP="002403AA">
            <w:pPr>
              <w:pStyle w:val="ListParagraph"/>
              <w:numPr>
                <w:ilvl w:val="0"/>
                <w:numId w:val="12"/>
              </w:numPr>
              <w:spacing w:before="60" w:after="60"/>
            </w:pPr>
            <w:r w:rsidRPr="002403AA">
              <w:t>the outcome of the 2021 Pre-Market Consultation (PMC) for enterprise finance and people management solutions that no obvious ‘HE-ready’ enterprise solution was available on the market;</w:t>
            </w:r>
          </w:p>
          <w:p w14:paraId="55F2F167" w14:textId="77777777" w:rsidR="002403AA" w:rsidRPr="002403AA" w:rsidRDefault="002403AA" w:rsidP="002403AA">
            <w:pPr>
              <w:pStyle w:val="ListParagraph"/>
              <w:numPr>
                <w:ilvl w:val="0"/>
                <w:numId w:val="12"/>
              </w:numPr>
              <w:spacing w:before="60" w:after="60"/>
            </w:pPr>
            <w:r w:rsidRPr="002403AA">
              <w:t>the intention to undertake a PMC for the pre and post award phases of research management; and</w:t>
            </w:r>
          </w:p>
          <w:p w14:paraId="55E925C9" w14:textId="227DFA2A" w:rsidR="002403AA" w:rsidRPr="002403AA" w:rsidRDefault="002403AA" w:rsidP="002403AA">
            <w:pPr>
              <w:pStyle w:val="ListParagraph"/>
              <w:numPr>
                <w:ilvl w:val="0"/>
                <w:numId w:val="12"/>
              </w:numPr>
              <w:spacing w:before="60" w:after="60"/>
            </w:pPr>
            <w:r w:rsidRPr="002403AA">
              <w:t>the focus in 2022/23 on upgrading the University’s integration capability, noting that the current point to point integration was increasingly outdated due to complex demands and Cloud based applications/services capability.</w:t>
            </w:r>
          </w:p>
        </w:tc>
      </w:tr>
      <w:tr w:rsidR="002403AA" w:rsidRPr="005566E3" w14:paraId="58DDC7AF"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4A26D1A4" w14:textId="5A43F137" w:rsidR="002403AA" w:rsidRDefault="002403AA" w:rsidP="002403AA">
            <w:pPr>
              <w:spacing w:before="60" w:after="60"/>
              <w:ind w:left="-108" w:right="-105"/>
              <w:jc w:val="right"/>
            </w:pPr>
            <w:r>
              <w:t>7.2</w:t>
            </w:r>
          </w:p>
        </w:tc>
        <w:tc>
          <w:tcPr>
            <w:tcW w:w="8788" w:type="dxa"/>
            <w:gridSpan w:val="5"/>
            <w:tcBorders>
              <w:top w:val="single" w:sz="4" w:space="0" w:color="auto"/>
              <w:bottom w:val="single" w:sz="4" w:space="0" w:color="auto"/>
            </w:tcBorders>
            <w:shd w:val="clear" w:color="auto" w:fill="auto"/>
          </w:tcPr>
          <w:p w14:paraId="4E456FC5" w14:textId="4F3B1DBD" w:rsidR="002403AA" w:rsidRDefault="002403AA" w:rsidP="002403AA">
            <w:pPr>
              <w:spacing w:before="60" w:after="60"/>
            </w:pPr>
            <w:r>
              <w:t>A confidential minute was recorded.</w:t>
            </w:r>
          </w:p>
        </w:tc>
      </w:tr>
      <w:tr w:rsidR="002403AA" w:rsidRPr="005566E3" w14:paraId="773608EC"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0BB2F3F7" w14:textId="6DC0B8B6" w:rsidR="002403AA" w:rsidRDefault="002403AA" w:rsidP="002403AA">
            <w:pPr>
              <w:spacing w:before="60" w:after="60"/>
              <w:ind w:left="-108" w:right="-105"/>
              <w:jc w:val="right"/>
            </w:pPr>
            <w:r>
              <w:t>7.3</w:t>
            </w:r>
          </w:p>
        </w:tc>
        <w:tc>
          <w:tcPr>
            <w:tcW w:w="8788" w:type="dxa"/>
            <w:gridSpan w:val="5"/>
            <w:tcBorders>
              <w:top w:val="single" w:sz="4" w:space="0" w:color="auto"/>
              <w:bottom w:val="single" w:sz="4" w:space="0" w:color="auto"/>
            </w:tcBorders>
            <w:shd w:val="clear" w:color="auto" w:fill="auto"/>
          </w:tcPr>
          <w:p w14:paraId="7A4BCCAC" w14:textId="77777777" w:rsidR="002403AA" w:rsidRDefault="002403AA" w:rsidP="002403AA">
            <w:pPr>
              <w:spacing w:before="60" w:after="60"/>
            </w:pPr>
            <w:r>
              <w:t>With reference to members’ questions, the following responses were noted.</w:t>
            </w:r>
          </w:p>
          <w:p w14:paraId="48F7E5D5" w14:textId="141407D7" w:rsidR="002403AA" w:rsidRDefault="002403AA" w:rsidP="002403AA">
            <w:pPr>
              <w:pStyle w:val="ListParagraph"/>
              <w:numPr>
                <w:ilvl w:val="0"/>
                <w:numId w:val="14"/>
              </w:numPr>
              <w:spacing w:before="60" w:after="60"/>
            </w:pPr>
            <w:r>
              <w:t>The merits of developing a graduate programme for SHU graduates – the Director of Transformation confirmed that the University made use of graduate resource, including through the employment of a number of interns in Digital and Technology Services (DTS) each year. The University was also looking at developing its apprenticeship provision with digital suppliers to create a pipeline of future developers.</w:t>
            </w:r>
          </w:p>
          <w:p w14:paraId="69390640" w14:textId="7C3903B1" w:rsidR="002403AA" w:rsidRDefault="002403AA" w:rsidP="002403AA">
            <w:pPr>
              <w:pStyle w:val="ListParagraph"/>
              <w:numPr>
                <w:ilvl w:val="0"/>
                <w:numId w:val="14"/>
              </w:numPr>
              <w:spacing w:before="60" w:after="60"/>
            </w:pPr>
            <w:r>
              <w:t xml:space="preserve">Assurance around cost management – the Technology and Infrastructure Strategy Board met </w:t>
            </w:r>
            <w:r w:rsidRPr="001C491E">
              <w:t>monthly</w:t>
            </w:r>
            <w:r>
              <w:t xml:space="preserve"> to review risks, actual expenditure against budget and prioritisation of projects for the coming year and the longer term. </w:t>
            </w:r>
          </w:p>
          <w:p w14:paraId="4BB1B857" w14:textId="210A1DD6" w:rsidR="002403AA" w:rsidRDefault="002403AA" w:rsidP="002403AA">
            <w:pPr>
              <w:pStyle w:val="ListParagraph"/>
              <w:numPr>
                <w:ilvl w:val="0"/>
                <w:numId w:val="14"/>
              </w:numPr>
              <w:spacing w:before="60" w:after="60"/>
            </w:pPr>
            <w:r>
              <w:t xml:space="preserve">The University’s ability to keep up with digital developments/transformation in the HE sector – positive feedback had been received from the annual staff surveys regarding the digital tools and resources required to do their job. From the student perspective, module evaluation surveys were also showing positive outcomes in relation to access to (specialist) learning materials and ease of locating the resources they needed. It was difficult to disentangle the impact of the pandemic and online learning from </w:t>
            </w:r>
            <w:r>
              <w:lastRenderedPageBreak/>
              <w:t>satisfaction on digital resources and services in this year’s National Student Survey (NSS) results should provide more meaningful data. The University also had the facility to deploy student focus groups to obtain further feedback.</w:t>
            </w:r>
          </w:p>
          <w:p w14:paraId="7BF9BB71" w14:textId="77777777" w:rsidR="002403AA" w:rsidRDefault="002403AA" w:rsidP="002403AA">
            <w:pPr>
              <w:pStyle w:val="ListParagraph"/>
              <w:numPr>
                <w:ilvl w:val="0"/>
                <w:numId w:val="14"/>
              </w:numPr>
              <w:spacing w:before="60" w:after="60"/>
            </w:pPr>
            <w:r>
              <w:t xml:space="preserve">Progress with the Cloud migration project –  whilst all applications identified in the first phase of the project had been transferred, enhanced integration capability was required before other key University systems could be fully migrated to the Cloud. </w:t>
            </w:r>
          </w:p>
          <w:p w14:paraId="6B45FE34" w14:textId="7062093C" w:rsidR="002403AA" w:rsidRDefault="002403AA" w:rsidP="002403AA">
            <w:pPr>
              <w:pStyle w:val="ListParagraph"/>
              <w:numPr>
                <w:ilvl w:val="0"/>
                <w:numId w:val="14"/>
              </w:numPr>
              <w:spacing w:before="60" w:after="60"/>
            </w:pPr>
            <w:r>
              <w:t>Cyber security provision – consideration of cyber security was built into the development of all projects.</w:t>
            </w:r>
          </w:p>
        </w:tc>
      </w:tr>
      <w:tr w:rsidR="002403AA" w:rsidRPr="005566E3" w14:paraId="749D60A7"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61A3068B" w14:textId="235F942E" w:rsidR="002403AA" w:rsidRDefault="002403AA" w:rsidP="002403AA">
            <w:pPr>
              <w:spacing w:before="60" w:after="60"/>
              <w:ind w:left="-108" w:right="-105"/>
              <w:jc w:val="right"/>
            </w:pPr>
            <w:r>
              <w:lastRenderedPageBreak/>
              <w:t>7.4</w:t>
            </w:r>
          </w:p>
        </w:tc>
        <w:tc>
          <w:tcPr>
            <w:tcW w:w="8788" w:type="dxa"/>
            <w:gridSpan w:val="5"/>
            <w:tcBorders>
              <w:top w:val="single" w:sz="4" w:space="0" w:color="auto"/>
              <w:bottom w:val="single" w:sz="4" w:space="0" w:color="auto"/>
            </w:tcBorders>
            <w:shd w:val="clear" w:color="auto" w:fill="auto"/>
          </w:tcPr>
          <w:p w14:paraId="463EDC7C" w14:textId="341BACD4" w:rsidR="002403AA" w:rsidRDefault="002403AA" w:rsidP="002403AA">
            <w:pPr>
              <w:spacing w:before="60" w:after="60"/>
            </w:pPr>
            <w:r>
              <w:t>A confidential minute was recorded.</w:t>
            </w:r>
          </w:p>
        </w:tc>
      </w:tr>
      <w:tr w:rsidR="002403AA" w:rsidRPr="005566E3" w14:paraId="23E1441A"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47979AD4" w14:textId="577E1D52" w:rsidR="002403AA" w:rsidRDefault="002403AA" w:rsidP="002403AA">
            <w:pPr>
              <w:spacing w:before="60" w:after="60"/>
              <w:ind w:left="-108" w:right="-105"/>
              <w:jc w:val="right"/>
            </w:pPr>
            <w:r>
              <w:t>7.5</w:t>
            </w:r>
          </w:p>
        </w:tc>
        <w:tc>
          <w:tcPr>
            <w:tcW w:w="8788" w:type="dxa"/>
            <w:gridSpan w:val="5"/>
            <w:tcBorders>
              <w:top w:val="single" w:sz="4" w:space="0" w:color="auto"/>
              <w:bottom w:val="single" w:sz="4" w:space="0" w:color="auto"/>
            </w:tcBorders>
            <w:shd w:val="clear" w:color="auto" w:fill="auto"/>
          </w:tcPr>
          <w:p w14:paraId="1E1B99A0" w14:textId="604FC0AC" w:rsidR="002403AA" w:rsidRDefault="002403AA" w:rsidP="002403AA">
            <w:pPr>
              <w:spacing w:before="60" w:after="60"/>
            </w:pPr>
            <w:r>
              <w:t>It was recognised the digital estate in most UK universities’ had evolved in a relatively unplanned way and that, whilst individual expectations changed faster than the University’s capacity to design systems in response, the University was positioned to guarantee robust systems which were future proofed as far as possible. The Director of Transformation offered to present a series of deep dives on the Technology Strategy should the Committee deem this beneficial.</w:t>
            </w:r>
          </w:p>
        </w:tc>
      </w:tr>
      <w:tr w:rsidR="002403AA" w:rsidRPr="005566E3" w14:paraId="24BC2D6F"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D9D9D9" w:themeFill="background1" w:themeFillShade="D9"/>
          </w:tcPr>
          <w:p w14:paraId="04173B51" w14:textId="77777777" w:rsidR="002403AA" w:rsidRDefault="002403AA" w:rsidP="002403AA">
            <w:pPr>
              <w:ind w:left="-108" w:right="-102"/>
              <w:jc w:val="right"/>
              <w:rPr>
                <w:color w:val="621B40"/>
                <w:sz w:val="16"/>
                <w:szCs w:val="16"/>
              </w:rPr>
            </w:pPr>
            <w:r>
              <w:rPr>
                <w:color w:val="621B40"/>
                <w:sz w:val="16"/>
                <w:szCs w:val="16"/>
              </w:rPr>
              <w:t>Agenda Item</w:t>
            </w:r>
          </w:p>
          <w:p w14:paraId="0A4B42E8" w14:textId="77777777" w:rsidR="002403AA" w:rsidRDefault="002403AA" w:rsidP="002403AA">
            <w:pPr>
              <w:ind w:left="-108" w:right="-102"/>
              <w:jc w:val="right"/>
              <w:rPr>
                <w:color w:val="621B40"/>
                <w:sz w:val="16"/>
                <w:szCs w:val="16"/>
              </w:rPr>
            </w:pPr>
            <w:r>
              <w:rPr>
                <w:color w:val="621B40"/>
                <w:sz w:val="16"/>
                <w:szCs w:val="16"/>
              </w:rPr>
              <w:t>Paper Ref</w:t>
            </w:r>
          </w:p>
          <w:p w14:paraId="045285C4" w14:textId="77777777" w:rsidR="002403AA" w:rsidRPr="005566E3" w:rsidRDefault="002403AA" w:rsidP="002403AA">
            <w:pPr>
              <w:ind w:left="-108" w:right="-102"/>
              <w:jc w:val="right"/>
              <w:rPr>
                <w:color w:val="621B40"/>
                <w:sz w:val="16"/>
                <w:szCs w:val="16"/>
              </w:rPr>
            </w:pPr>
          </w:p>
        </w:tc>
        <w:tc>
          <w:tcPr>
            <w:tcW w:w="1278" w:type="dxa"/>
            <w:tcBorders>
              <w:top w:val="single" w:sz="4" w:space="0" w:color="auto"/>
              <w:bottom w:val="single" w:sz="4" w:space="0" w:color="auto"/>
            </w:tcBorders>
            <w:shd w:val="clear" w:color="auto" w:fill="D9D9D9" w:themeFill="background1" w:themeFillShade="D9"/>
          </w:tcPr>
          <w:p w14:paraId="6CE26E9E" w14:textId="360F89C9" w:rsidR="002403AA" w:rsidRDefault="002403AA" w:rsidP="002403AA">
            <w:pPr>
              <w:rPr>
                <w:color w:val="621B40"/>
                <w:sz w:val="16"/>
                <w:szCs w:val="16"/>
              </w:rPr>
            </w:pPr>
            <w:r>
              <w:rPr>
                <w:color w:val="621B40"/>
                <w:sz w:val="16"/>
                <w:szCs w:val="16"/>
              </w:rPr>
              <w:t>8</w:t>
            </w:r>
          </w:p>
          <w:p w14:paraId="45BA8900" w14:textId="45950B6E" w:rsidR="002403AA" w:rsidRDefault="002403AA" w:rsidP="002403AA">
            <w:pPr>
              <w:rPr>
                <w:color w:val="621B40"/>
                <w:sz w:val="16"/>
                <w:szCs w:val="16"/>
              </w:rPr>
            </w:pPr>
            <w:r>
              <w:rPr>
                <w:color w:val="621B40"/>
                <w:sz w:val="16"/>
                <w:szCs w:val="16"/>
              </w:rPr>
              <w:t>FEC/4/22</w:t>
            </w:r>
            <w:r w:rsidRPr="00653D82">
              <w:rPr>
                <w:color w:val="621B40"/>
                <w:sz w:val="16"/>
                <w:szCs w:val="16"/>
              </w:rPr>
              <w:t>/</w:t>
            </w:r>
            <w:r>
              <w:rPr>
                <w:color w:val="621B40"/>
                <w:sz w:val="16"/>
                <w:szCs w:val="16"/>
              </w:rPr>
              <w:t>8 Confidential</w:t>
            </w:r>
          </w:p>
        </w:tc>
        <w:tc>
          <w:tcPr>
            <w:tcW w:w="5242" w:type="dxa"/>
            <w:gridSpan w:val="2"/>
            <w:tcBorders>
              <w:top w:val="single" w:sz="4" w:space="0" w:color="auto"/>
              <w:bottom w:val="single" w:sz="4" w:space="0" w:color="auto"/>
            </w:tcBorders>
            <w:shd w:val="clear" w:color="auto" w:fill="D9D9D9" w:themeFill="background1" w:themeFillShade="D9"/>
          </w:tcPr>
          <w:p w14:paraId="2026AA88" w14:textId="2AF5EA79" w:rsidR="002403AA" w:rsidRPr="00E764D2" w:rsidRDefault="002403AA" w:rsidP="002403AA">
            <w:pPr>
              <w:rPr>
                <w:b/>
                <w:bCs/>
                <w:color w:val="621B40"/>
              </w:rPr>
            </w:pPr>
            <w:r>
              <w:rPr>
                <w:b/>
                <w:bCs/>
                <w:color w:val="621B40"/>
              </w:rPr>
              <w:t>Campus Plan Approval</w:t>
            </w:r>
          </w:p>
        </w:tc>
        <w:tc>
          <w:tcPr>
            <w:tcW w:w="709" w:type="dxa"/>
            <w:tcBorders>
              <w:top w:val="single" w:sz="4" w:space="0" w:color="auto"/>
              <w:bottom w:val="single" w:sz="4" w:space="0" w:color="auto"/>
            </w:tcBorders>
            <w:shd w:val="clear" w:color="auto" w:fill="D9D9D9" w:themeFill="background1" w:themeFillShade="D9"/>
          </w:tcPr>
          <w:p w14:paraId="0668DB9B" w14:textId="77777777" w:rsidR="002403AA" w:rsidRPr="005566E3" w:rsidRDefault="002403AA" w:rsidP="002403AA">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7FBD859F" w14:textId="265F3E48" w:rsidR="002403AA" w:rsidRPr="008D470E" w:rsidRDefault="002403AA" w:rsidP="002403AA">
            <w:pPr>
              <w:rPr>
                <w:color w:val="621B40"/>
              </w:rPr>
            </w:pPr>
            <w:r>
              <w:rPr>
                <w:color w:val="621B40"/>
              </w:rPr>
              <w:t>FEC/4/22/8</w:t>
            </w:r>
          </w:p>
        </w:tc>
      </w:tr>
      <w:tr w:rsidR="002403AA" w:rsidRPr="005566E3" w14:paraId="72EB6166" w14:textId="77777777" w:rsidTr="00130AB7">
        <w:tblPrEx>
          <w:tblBorders>
            <w:top w:val="single" w:sz="4" w:space="0" w:color="auto"/>
            <w:bottom w:val="single" w:sz="4" w:space="0" w:color="auto"/>
          </w:tblBorders>
        </w:tblPrEx>
        <w:trPr>
          <w:trHeight w:val="701"/>
        </w:trPr>
        <w:tc>
          <w:tcPr>
            <w:tcW w:w="851" w:type="dxa"/>
            <w:tcBorders>
              <w:top w:val="single" w:sz="4" w:space="0" w:color="auto"/>
              <w:bottom w:val="single" w:sz="4" w:space="0" w:color="auto"/>
            </w:tcBorders>
            <w:shd w:val="clear" w:color="auto" w:fill="auto"/>
          </w:tcPr>
          <w:p w14:paraId="26349949" w14:textId="6EEEC76B" w:rsidR="002403AA" w:rsidRDefault="002403AA" w:rsidP="002403AA">
            <w:pPr>
              <w:spacing w:before="60" w:after="60"/>
              <w:ind w:left="-108" w:right="-105"/>
              <w:jc w:val="right"/>
            </w:pPr>
            <w:r>
              <w:t>8.1</w:t>
            </w:r>
          </w:p>
        </w:tc>
        <w:tc>
          <w:tcPr>
            <w:tcW w:w="8788" w:type="dxa"/>
            <w:gridSpan w:val="5"/>
            <w:tcBorders>
              <w:top w:val="single" w:sz="4" w:space="0" w:color="auto"/>
              <w:bottom w:val="single" w:sz="4" w:space="0" w:color="auto"/>
            </w:tcBorders>
            <w:shd w:val="clear" w:color="auto" w:fill="auto"/>
          </w:tcPr>
          <w:p w14:paraId="4AE94AE7" w14:textId="36CEC2AE" w:rsidR="002403AA" w:rsidRDefault="002403AA" w:rsidP="002403AA">
            <w:pPr>
              <w:spacing w:before="60" w:after="60"/>
            </w:pPr>
            <w:r>
              <w:t>The DVCSO presented a proposal relating to the preparatory work for the second phase of Howard Street development.</w:t>
            </w:r>
          </w:p>
        </w:tc>
      </w:tr>
      <w:tr w:rsidR="002403AA" w:rsidRPr="005566E3" w14:paraId="7928E521" w14:textId="77777777" w:rsidTr="002403AA">
        <w:tblPrEx>
          <w:tblBorders>
            <w:top w:val="single" w:sz="4" w:space="0" w:color="auto"/>
            <w:bottom w:val="single" w:sz="4" w:space="0" w:color="auto"/>
          </w:tblBorders>
        </w:tblPrEx>
        <w:trPr>
          <w:trHeight w:val="400"/>
        </w:trPr>
        <w:tc>
          <w:tcPr>
            <w:tcW w:w="851" w:type="dxa"/>
            <w:tcBorders>
              <w:top w:val="single" w:sz="4" w:space="0" w:color="auto"/>
              <w:bottom w:val="single" w:sz="4" w:space="0" w:color="auto"/>
            </w:tcBorders>
            <w:shd w:val="clear" w:color="auto" w:fill="auto"/>
          </w:tcPr>
          <w:p w14:paraId="0AD7FE61" w14:textId="3E596420" w:rsidR="002403AA" w:rsidRDefault="002403AA" w:rsidP="002403AA">
            <w:pPr>
              <w:spacing w:before="60" w:after="60"/>
              <w:ind w:left="-108" w:right="-105"/>
              <w:jc w:val="right"/>
            </w:pPr>
            <w:r>
              <w:t xml:space="preserve">8.2             </w:t>
            </w:r>
          </w:p>
        </w:tc>
        <w:tc>
          <w:tcPr>
            <w:tcW w:w="8788" w:type="dxa"/>
            <w:gridSpan w:val="5"/>
            <w:tcBorders>
              <w:top w:val="single" w:sz="4" w:space="0" w:color="auto"/>
              <w:bottom w:val="single" w:sz="4" w:space="0" w:color="auto"/>
            </w:tcBorders>
            <w:shd w:val="clear" w:color="auto" w:fill="auto"/>
          </w:tcPr>
          <w:p w14:paraId="1B4675FB" w14:textId="7E294389" w:rsidR="002403AA" w:rsidRDefault="002403AA" w:rsidP="002403AA">
            <w:pPr>
              <w:spacing w:before="60" w:after="60"/>
            </w:pPr>
            <w:r w:rsidRPr="00A10A32">
              <w:t>A confidential minute was recorded.</w:t>
            </w:r>
          </w:p>
        </w:tc>
      </w:tr>
      <w:tr w:rsidR="002403AA" w:rsidRPr="005566E3" w14:paraId="002CEE0D" w14:textId="77777777" w:rsidTr="00130AB7">
        <w:tblPrEx>
          <w:tblBorders>
            <w:top w:val="single" w:sz="4" w:space="0" w:color="auto"/>
            <w:bottom w:val="single" w:sz="4" w:space="0" w:color="auto"/>
          </w:tblBorders>
        </w:tblPrEx>
        <w:trPr>
          <w:trHeight w:val="701"/>
        </w:trPr>
        <w:tc>
          <w:tcPr>
            <w:tcW w:w="851" w:type="dxa"/>
            <w:tcBorders>
              <w:top w:val="single" w:sz="4" w:space="0" w:color="auto"/>
              <w:bottom w:val="single" w:sz="4" w:space="0" w:color="auto"/>
            </w:tcBorders>
            <w:shd w:val="clear" w:color="auto" w:fill="auto"/>
          </w:tcPr>
          <w:p w14:paraId="6227BAC9" w14:textId="0662FA38" w:rsidR="002403AA" w:rsidRPr="007D0C21" w:rsidRDefault="002403AA" w:rsidP="002403AA">
            <w:pPr>
              <w:spacing w:before="60" w:after="60"/>
              <w:ind w:left="-108" w:right="-105"/>
              <w:jc w:val="right"/>
            </w:pPr>
            <w:r>
              <w:t>8.3</w:t>
            </w:r>
          </w:p>
        </w:tc>
        <w:tc>
          <w:tcPr>
            <w:tcW w:w="8788" w:type="dxa"/>
            <w:gridSpan w:val="5"/>
            <w:tcBorders>
              <w:top w:val="single" w:sz="4" w:space="0" w:color="auto"/>
              <w:bottom w:val="single" w:sz="4" w:space="0" w:color="auto"/>
            </w:tcBorders>
            <w:shd w:val="clear" w:color="auto" w:fill="auto"/>
          </w:tcPr>
          <w:p w14:paraId="0AFF5357" w14:textId="30EB1478" w:rsidR="002403AA" w:rsidRPr="002958DB" w:rsidRDefault="002403AA" w:rsidP="002403AA">
            <w:pPr>
              <w:spacing w:before="60" w:after="60"/>
              <w:rPr>
                <w:rFonts w:ascii="Calibri" w:eastAsia="Calibri" w:hAnsi="Calibri" w:cs="Calibri"/>
              </w:rPr>
            </w:pPr>
            <w:r>
              <w:rPr>
                <w:rFonts w:ascii="Calibri" w:eastAsia="Calibri" w:hAnsi="Calibri" w:cs="Calibri"/>
              </w:rPr>
              <w:t xml:space="preserve">The Committee considered the recommendation from the University Leadership Team (ULT) to drawdown the </w:t>
            </w:r>
            <w:r w:rsidRPr="002D400C">
              <w:rPr>
                <w:rFonts w:ascii="Calibri" w:eastAsia="Calibri" w:hAnsi="Calibri" w:cs="Calibri"/>
              </w:rPr>
              <w:t>£4.8m</w:t>
            </w:r>
            <w:r>
              <w:rPr>
                <w:rFonts w:ascii="Calibri" w:eastAsia="Calibri" w:hAnsi="Calibri" w:cs="Calibri"/>
              </w:rPr>
              <w:t xml:space="preserve"> provision</w:t>
            </w:r>
            <w:r w:rsidRPr="002D400C">
              <w:rPr>
                <w:rFonts w:ascii="Calibri" w:eastAsia="Calibri" w:hAnsi="Calibri" w:cs="Calibri"/>
              </w:rPr>
              <w:t xml:space="preserve"> to fund the design activities associated with Block E</w:t>
            </w:r>
            <w:r>
              <w:rPr>
                <w:rFonts w:ascii="Calibri" w:eastAsia="Calibri" w:hAnsi="Calibri" w:cs="Calibri"/>
              </w:rPr>
              <w:t>.</w:t>
            </w:r>
          </w:p>
        </w:tc>
      </w:tr>
      <w:tr w:rsidR="002403AA" w:rsidRPr="005566E3" w14:paraId="456DCA05" w14:textId="77777777" w:rsidTr="00130AB7">
        <w:tblPrEx>
          <w:tblBorders>
            <w:top w:val="single" w:sz="4" w:space="0" w:color="auto"/>
            <w:bottom w:val="single" w:sz="4" w:space="0" w:color="auto"/>
          </w:tblBorders>
        </w:tblPrEx>
        <w:trPr>
          <w:trHeight w:val="476"/>
        </w:trPr>
        <w:tc>
          <w:tcPr>
            <w:tcW w:w="851" w:type="dxa"/>
            <w:tcBorders>
              <w:top w:val="single" w:sz="4" w:space="0" w:color="auto"/>
              <w:bottom w:val="single" w:sz="4" w:space="0" w:color="auto"/>
            </w:tcBorders>
            <w:shd w:val="clear" w:color="auto" w:fill="auto"/>
          </w:tcPr>
          <w:p w14:paraId="1B2A6757" w14:textId="510A347C" w:rsidR="002403AA" w:rsidRDefault="002403AA" w:rsidP="002403AA">
            <w:pPr>
              <w:spacing w:before="60" w:after="60"/>
              <w:ind w:left="-108" w:right="-105"/>
              <w:jc w:val="right"/>
            </w:pPr>
            <w:r>
              <w:t>8.4</w:t>
            </w:r>
          </w:p>
        </w:tc>
        <w:tc>
          <w:tcPr>
            <w:tcW w:w="8788" w:type="dxa"/>
            <w:gridSpan w:val="5"/>
            <w:tcBorders>
              <w:top w:val="single" w:sz="4" w:space="0" w:color="auto"/>
              <w:bottom w:val="single" w:sz="4" w:space="0" w:color="auto"/>
            </w:tcBorders>
            <w:shd w:val="clear" w:color="auto" w:fill="auto"/>
          </w:tcPr>
          <w:p w14:paraId="44CB46F4" w14:textId="610ECAA2" w:rsidR="002403AA" w:rsidRDefault="002403AA" w:rsidP="002403AA">
            <w:pPr>
              <w:spacing w:before="60" w:after="60"/>
              <w:rPr>
                <w:rFonts w:ascii="Calibri" w:eastAsia="Calibri" w:hAnsi="Calibri" w:cs="Calibri"/>
                <w:highlight w:val="yellow"/>
              </w:rPr>
            </w:pPr>
            <w:r w:rsidRPr="00A10A32">
              <w:t>A confidential minute was recorded.</w:t>
            </w:r>
          </w:p>
        </w:tc>
      </w:tr>
      <w:tr w:rsidR="002403AA" w:rsidRPr="005566E3" w14:paraId="29C84278" w14:textId="77777777" w:rsidTr="00130AB7">
        <w:tblPrEx>
          <w:tblBorders>
            <w:top w:val="single" w:sz="4" w:space="0" w:color="auto"/>
            <w:bottom w:val="single" w:sz="4" w:space="0" w:color="auto"/>
          </w:tblBorders>
        </w:tblPrEx>
        <w:trPr>
          <w:trHeight w:val="476"/>
        </w:trPr>
        <w:tc>
          <w:tcPr>
            <w:tcW w:w="851" w:type="dxa"/>
            <w:tcBorders>
              <w:top w:val="single" w:sz="4" w:space="0" w:color="auto"/>
              <w:bottom w:val="single" w:sz="4" w:space="0" w:color="auto"/>
            </w:tcBorders>
            <w:shd w:val="clear" w:color="auto" w:fill="auto"/>
          </w:tcPr>
          <w:p w14:paraId="1150244D" w14:textId="108B0687" w:rsidR="002403AA" w:rsidRDefault="002403AA" w:rsidP="002403AA">
            <w:pPr>
              <w:spacing w:before="60" w:after="60"/>
              <w:ind w:left="-108" w:right="-105"/>
              <w:jc w:val="right"/>
            </w:pPr>
            <w:r>
              <w:t>8.5</w:t>
            </w:r>
          </w:p>
        </w:tc>
        <w:tc>
          <w:tcPr>
            <w:tcW w:w="8788" w:type="dxa"/>
            <w:gridSpan w:val="5"/>
            <w:tcBorders>
              <w:top w:val="single" w:sz="4" w:space="0" w:color="auto"/>
              <w:bottom w:val="single" w:sz="4" w:space="0" w:color="auto"/>
            </w:tcBorders>
            <w:shd w:val="clear" w:color="auto" w:fill="auto"/>
          </w:tcPr>
          <w:p w14:paraId="4A8D4CCD" w14:textId="5E5A18DB" w:rsidR="002403AA" w:rsidRPr="00AD42D9" w:rsidRDefault="002403AA" w:rsidP="002403AA">
            <w:pPr>
              <w:spacing w:before="60" w:after="60"/>
              <w:rPr>
                <w:rFonts w:ascii="Calibri" w:eastAsia="Calibri" w:hAnsi="Calibri" w:cs="Calibri"/>
                <w:highlight w:val="yellow"/>
              </w:rPr>
            </w:pPr>
            <w:r>
              <w:t>A</w:t>
            </w:r>
            <w:r w:rsidRPr="00A10A32">
              <w:t xml:space="preserve"> confidential minute was recorded.</w:t>
            </w:r>
          </w:p>
        </w:tc>
      </w:tr>
      <w:tr w:rsidR="002403AA" w:rsidRPr="005566E3" w14:paraId="177737F0" w14:textId="77777777" w:rsidTr="00130AB7">
        <w:tblPrEx>
          <w:tblBorders>
            <w:top w:val="single" w:sz="4" w:space="0" w:color="auto"/>
            <w:bottom w:val="single" w:sz="4" w:space="0" w:color="auto"/>
          </w:tblBorders>
        </w:tblPrEx>
        <w:trPr>
          <w:trHeight w:val="418"/>
        </w:trPr>
        <w:tc>
          <w:tcPr>
            <w:tcW w:w="851" w:type="dxa"/>
            <w:tcBorders>
              <w:top w:val="single" w:sz="4" w:space="0" w:color="auto"/>
              <w:bottom w:val="single" w:sz="4" w:space="0" w:color="auto"/>
            </w:tcBorders>
            <w:shd w:val="clear" w:color="auto" w:fill="auto"/>
          </w:tcPr>
          <w:p w14:paraId="3C6F75FF" w14:textId="58AC7D49" w:rsidR="002403AA" w:rsidRDefault="002403AA" w:rsidP="002403AA">
            <w:pPr>
              <w:spacing w:before="60" w:after="60"/>
              <w:ind w:left="-108" w:right="-105"/>
              <w:jc w:val="right"/>
            </w:pPr>
            <w:r>
              <w:t>8.6</w:t>
            </w:r>
          </w:p>
        </w:tc>
        <w:tc>
          <w:tcPr>
            <w:tcW w:w="8788" w:type="dxa"/>
            <w:gridSpan w:val="5"/>
            <w:tcBorders>
              <w:top w:val="single" w:sz="4" w:space="0" w:color="auto"/>
              <w:bottom w:val="single" w:sz="4" w:space="0" w:color="auto"/>
            </w:tcBorders>
            <w:shd w:val="clear" w:color="auto" w:fill="auto"/>
          </w:tcPr>
          <w:p w14:paraId="1B0E87AA" w14:textId="7614B40F" w:rsidR="002403AA" w:rsidRDefault="002403AA" w:rsidP="002403AA">
            <w:pPr>
              <w:spacing w:before="60" w:after="60"/>
            </w:pPr>
            <w:r>
              <w:rPr>
                <w:rFonts w:ascii="Calibri" w:eastAsia="Calibri" w:hAnsi="Calibri" w:cs="Calibri"/>
              </w:rPr>
              <w:t xml:space="preserve">The Committee resolved to </w:t>
            </w:r>
            <w:r w:rsidRPr="005B47D3">
              <w:rPr>
                <w:rFonts w:ascii="Calibri" w:eastAsia="Calibri" w:hAnsi="Calibri" w:cs="Calibri"/>
                <w:b/>
                <w:bCs/>
              </w:rPr>
              <w:t>recommend</w:t>
            </w:r>
            <w:r>
              <w:rPr>
                <w:rFonts w:ascii="Calibri" w:eastAsia="Calibri" w:hAnsi="Calibri" w:cs="Calibri"/>
              </w:rPr>
              <w:t xml:space="preserve"> the proposal to the Board for approval.</w:t>
            </w:r>
          </w:p>
        </w:tc>
      </w:tr>
      <w:tr w:rsidR="002403AA" w:rsidRPr="005566E3" w14:paraId="294C2E51"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D9D9D9" w:themeFill="background1" w:themeFillShade="D9"/>
          </w:tcPr>
          <w:p w14:paraId="0612BEF2" w14:textId="77777777" w:rsidR="002403AA" w:rsidRPr="005566E3" w:rsidRDefault="002403AA" w:rsidP="002403AA">
            <w:pPr>
              <w:ind w:left="-108" w:right="-102"/>
              <w:jc w:val="right"/>
              <w:rPr>
                <w:color w:val="621B40"/>
                <w:sz w:val="16"/>
                <w:szCs w:val="16"/>
              </w:rPr>
            </w:pPr>
            <w:bookmarkStart w:id="3" w:name="_Hlk88482082"/>
            <w:r w:rsidRPr="005566E3">
              <w:rPr>
                <w:color w:val="621B40"/>
                <w:sz w:val="16"/>
                <w:szCs w:val="16"/>
              </w:rPr>
              <w:t>Agenda item</w:t>
            </w:r>
          </w:p>
          <w:p w14:paraId="18340928" w14:textId="77777777" w:rsidR="002403AA" w:rsidRPr="005566E3" w:rsidRDefault="002403AA" w:rsidP="002403AA">
            <w:pPr>
              <w:ind w:left="-108" w:right="-102"/>
              <w:jc w:val="right"/>
              <w:rPr>
                <w:color w:val="621B40"/>
                <w:sz w:val="16"/>
                <w:szCs w:val="16"/>
              </w:rPr>
            </w:pPr>
            <w:r>
              <w:rPr>
                <w:color w:val="621B40"/>
                <w:sz w:val="16"/>
                <w:szCs w:val="16"/>
              </w:rPr>
              <w:t>Paper Ref</w:t>
            </w:r>
          </w:p>
        </w:tc>
        <w:tc>
          <w:tcPr>
            <w:tcW w:w="1278" w:type="dxa"/>
            <w:tcBorders>
              <w:top w:val="single" w:sz="4" w:space="0" w:color="auto"/>
              <w:bottom w:val="single" w:sz="4" w:space="0" w:color="auto"/>
            </w:tcBorders>
            <w:shd w:val="clear" w:color="auto" w:fill="D9D9D9" w:themeFill="background1" w:themeFillShade="D9"/>
          </w:tcPr>
          <w:p w14:paraId="1F5002B3" w14:textId="0121C790" w:rsidR="002403AA" w:rsidRDefault="002403AA" w:rsidP="002403AA">
            <w:pPr>
              <w:rPr>
                <w:color w:val="621B40"/>
                <w:sz w:val="16"/>
                <w:szCs w:val="16"/>
              </w:rPr>
            </w:pPr>
            <w:r>
              <w:rPr>
                <w:color w:val="621B40"/>
                <w:sz w:val="16"/>
                <w:szCs w:val="16"/>
              </w:rPr>
              <w:t>9</w:t>
            </w:r>
          </w:p>
          <w:p w14:paraId="5B844539" w14:textId="7BD0DBD9" w:rsidR="002403AA" w:rsidRDefault="002403AA" w:rsidP="002403AA">
            <w:pPr>
              <w:rPr>
                <w:color w:val="621B40"/>
                <w:sz w:val="16"/>
                <w:szCs w:val="16"/>
              </w:rPr>
            </w:pPr>
            <w:r>
              <w:rPr>
                <w:color w:val="621B40"/>
                <w:sz w:val="16"/>
                <w:szCs w:val="16"/>
              </w:rPr>
              <w:t>FEC/4/22</w:t>
            </w:r>
            <w:r w:rsidRPr="008D698F">
              <w:rPr>
                <w:color w:val="621B40"/>
                <w:sz w:val="16"/>
                <w:szCs w:val="16"/>
              </w:rPr>
              <w:t>/</w:t>
            </w:r>
            <w:r>
              <w:rPr>
                <w:color w:val="621B40"/>
                <w:sz w:val="16"/>
                <w:szCs w:val="16"/>
              </w:rPr>
              <w:t>9</w:t>
            </w:r>
          </w:p>
          <w:p w14:paraId="7C607E62" w14:textId="77777777" w:rsidR="002403AA" w:rsidRPr="005566E3" w:rsidRDefault="002403AA" w:rsidP="002403AA">
            <w:pPr>
              <w:rPr>
                <w:color w:val="621B40"/>
                <w:sz w:val="16"/>
                <w:szCs w:val="16"/>
              </w:rPr>
            </w:pPr>
            <w:r w:rsidRPr="003C63E3">
              <w:rPr>
                <w:color w:val="621B40"/>
                <w:sz w:val="16"/>
                <w:szCs w:val="16"/>
              </w:rPr>
              <w:t>Confidential</w:t>
            </w:r>
          </w:p>
        </w:tc>
        <w:tc>
          <w:tcPr>
            <w:tcW w:w="5242" w:type="dxa"/>
            <w:gridSpan w:val="2"/>
            <w:tcBorders>
              <w:top w:val="single" w:sz="4" w:space="0" w:color="auto"/>
              <w:bottom w:val="single" w:sz="4" w:space="0" w:color="auto"/>
            </w:tcBorders>
            <w:shd w:val="clear" w:color="auto" w:fill="D9D9D9" w:themeFill="background1" w:themeFillShade="D9"/>
          </w:tcPr>
          <w:p w14:paraId="1CDD7E46" w14:textId="77777777" w:rsidR="002403AA" w:rsidRDefault="002403AA" w:rsidP="002403AA">
            <w:pPr>
              <w:rPr>
                <w:b/>
                <w:bCs/>
                <w:color w:val="621B40"/>
              </w:rPr>
            </w:pPr>
            <w:r>
              <w:rPr>
                <w:b/>
                <w:bCs/>
                <w:color w:val="621B40"/>
              </w:rPr>
              <w:t>Estates Development Report</w:t>
            </w:r>
          </w:p>
          <w:p w14:paraId="784202E4" w14:textId="77777777" w:rsidR="002403AA" w:rsidRPr="005566E3" w:rsidRDefault="002403AA" w:rsidP="002403AA">
            <w:pPr>
              <w:rPr>
                <w:b/>
                <w:bCs/>
                <w:color w:val="621B40"/>
              </w:rPr>
            </w:pPr>
          </w:p>
        </w:tc>
        <w:tc>
          <w:tcPr>
            <w:tcW w:w="709" w:type="dxa"/>
            <w:tcBorders>
              <w:top w:val="single" w:sz="4" w:space="0" w:color="auto"/>
              <w:bottom w:val="single" w:sz="4" w:space="0" w:color="auto"/>
            </w:tcBorders>
            <w:shd w:val="clear" w:color="auto" w:fill="D9D9D9" w:themeFill="background1" w:themeFillShade="D9"/>
          </w:tcPr>
          <w:p w14:paraId="1775DF44" w14:textId="77777777" w:rsidR="002403AA" w:rsidRPr="005566E3" w:rsidRDefault="002403AA" w:rsidP="002403AA">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2002DFB0" w14:textId="0A6ACA29" w:rsidR="002403AA" w:rsidRPr="005566E3" w:rsidRDefault="002403AA" w:rsidP="002403AA">
            <w:pPr>
              <w:rPr>
                <w:color w:val="621B40"/>
              </w:rPr>
            </w:pPr>
            <w:r>
              <w:rPr>
                <w:color w:val="621B40"/>
              </w:rPr>
              <w:t>FEC/4/22/9</w:t>
            </w:r>
          </w:p>
        </w:tc>
      </w:tr>
      <w:tr w:rsidR="002403AA" w14:paraId="29239FF3"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tcPr>
          <w:p w14:paraId="6A99A8EC" w14:textId="4B510F9E" w:rsidR="002403AA" w:rsidRPr="007D0C21" w:rsidRDefault="002403AA" w:rsidP="002403AA">
            <w:pPr>
              <w:spacing w:before="60" w:after="60"/>
              <w:ind w:left="-108" w:right="-105"/>
              <w:jc w:val="right"/>
            </w:pPr>
            <w:r>
              <w:t>9.1</w:t>
            </w:r>
          </w:p>
        </w:tc>
        <w:tc>
          <w:tcPr>
            <w:tcW w:w="8788" w:type="dxa"/>
            <w:gridSpan w:val="5"/>
            <w:tcBorders>
              <w:top w:val="single" w:sz="4" w:space="0" w:color="auto"/>
              <w:bottom w:val="single" w:sz="4" w:space="0" w:color="auto"/>
            </w:tcBorders>
          </w:tcPr>
          <w:p w14:paraId="4913D884" w14:textId="77777777" w:rsidR="002403AA" w:rsidRDefault="002403AA" w:rsidP="002403AA">
            <w:pPr>
              <w:spacing w:before="60" w:after="60"/>
            </w:pPr>
            <w:r>
              <w:t>The Committee received an update on key estates developments since the last meeting including:</w:t>
            </w:r>
          </w:p>
          <w:p w14:paraId="4A734F0E" w14:textId="0FAF81F6" w:rsidR="002403AA" w:rsidRDefault="002403AA" w:rsidP="002403AA">
            <w:pPr>
              <w:pStyle w:val="ListParagraph"/>
              <w:numPr>
                <w:ilvl w:val="0"/>
                <w:numId w:val="13"/>
              </w:numPr>
              <w:spacing w:before="60" w:after="60"/>
            </w:pPr>
            <w:r>
              <w:t xml:space="preserve">progress with the enabling works on the Howard Street site including the rerouting of the sewer, noting that the Hallam Alliance had worked well to manage costs against current budget position. </w:t>
            </w:r>
          </w:p>
          <w:p w14:paraId="15A6F8B9" w14:textId="2C82F9E9" w:rsidR="002403AA" w:rsidRDefault="002403AA" w:rsidP="002403AA">
            <w:pPr>
              <w:pStyle w:val="ListParagraph"/>
              <w:numPr>
                <w:ilvl w:val="0"/>
                <w:numId w:val="13"/>
              </w:numPr>
              <w:spacing w:before="60" w:after="60"/>
            </w:pPr>
            <w:r>
              <w:t>proposals to address the University’s net zero ambitions which had been reviewed by the FSP Board review and would be considered by the BofG in October;</w:t>
            </w:r>
          </w:p>
          <w:p w14:paraId="35DE9046" w14:textId="250625F1" w:rsidR="002403AA" w:rsidRDefault="002403AA" w:rsidP="002403AA">
            <w:pPr>
              <w:pStyle w:val="ListParagraph"/>
              <w:numPr>
                <w:ilvl w:val="0"/>
                <w:numId w:val="13"/>
              </w:numPr>
              <w:spacing w:before="60" w:after="60"/>
            </w:pPr>
            <w:r>
              <w:t xml:space="preserve">the procurement of a campus works partner outside the Alliance; and </w:t>
            </w:r>
          </w:p>
          <w:p w14:paraId="5B460575" w14:textId="745EF629" w:rsidR="002403AA" w:rsidRDefault="002403AA" w:rsidP="002403AA">
            <w:pPr>
              <w:pStyle w:val="ListParagraph"/>
              <w:numPr>
                <w:ilvl w:val="0"/>
                <w:numId w:val="13"/>
              </w:numPr>
              <w:spacing w:before="60" w:after="60"/>
            </w:pPr>
            <w:r>
              <w:t>the positive progress with critical maintenance activities.</w:t>
            </w:r>
          </w:p>
          <w:p w14:paraId="23A26C5B" w14:textId="35CE1DF5" w:rsidR="002403AA" w:rsidRPr="00A92479" w:rsidRDefault="002403AA" w:rsidP="002403AA">
            <w:pPr>
              <w:spacing w:before="60" w:after="60"/>
            </w:pPr>
            <w:r>
              <w:t xml:space="preserve">The Director of Transformation commented on the increasingly joined-up approach to the estate and digital infrastructure through FSP. </w:t>
            </w:r>
          </w:p>
        </w:tc>
      </w:tr>
      <w:bookmarkEnd w:id="3"/>
      <w:tr w:rsidR="002403AA" w:rsidRPr="005566E3" w14:paraId="4AE82693" w14:textId="77777777" w:rsidTr="00130AB7">
        <w:tblPrEx>
          <w:tblBorders>
            <w:top w:val="single" w:sz="4" w:space="0" w:color="auto"/>
            <w:bottom w:val="single" w:sz="4" w:space="0" w:color="auto"/>
          </w:tblBorders>
        </w:tblPrEx>
        <w:trPr>
          <w:trHeight w:val="359"/>
        </w:trPr>
        <w:tc>
          <w:tcPr>
            <w:tcW w:w="851" w:type="dxa"/>
            <w:tcBorders>
              <w:top w:val="single" w:sz="4" w:space="0" w:color="auto"/>
              <w:bottom w:val="single" w:sz="4" w:space="0" w:color="auto"/>
            </w:tcBorders>
            <w:shd w:val="clear" w:color="auto" w:fill="D9D9D9" w:themeFill="background1" w:themeFillShade="D9"/>
          </w:tcPr>
          <w:p w14:paraId="31FE00F4" w14:textId="77777777" w:rsidR="002403AA" w:rsidRPr="005566E3" w:rsidRDefault="002403AA" w:rsidP="002403AA">
            <w:pPr>
              <w:ind w:left="-108" w:right="-102"/>
              <w:jc w:val="right"/>
              <w:rPr>
                <w:color w:val="621B40"/>
                <w:sz w:val="16"/>
                <w:szCs w:val="16"/>
              </w:rPr>
            </w:pPr>
            <w:r w:rsidRPr="005566E3">
              <w:rPr>
                <w:color w:val="621B40"/>
                <w:sz w:val="16"/>
                <w:szCs w:val="16"/>
              </w:rPr>
              <w:t>Agenda item</w:t>
            </w:r>
          </w:p>
          <w:p w14:paraId="3510F78A" w14:textId="78774E01" w:rsidR="002403AA" w:rsidRPr="005566E3" w:rsidRDefault="002403AA" w:rsidP="002403AA">
            <w:pPr>
              <w:ind w:left="-108" w:right="-102"/>
              <w:jc w:val="right"/>
              <w:rPr>
                <w:color w:val="621B40"/>
                <w:sz w:val="16"/>
                <w:szCs w:val="16"/>
              </w:rPr>
            </w:pPr>
            <w:r w:rsidRPr="005566E3">
              <w:rPr>
                <w:color w:val="621B40"/>
                <w:sz w:val="16"/>
                <w:szCs w:val="16"/>
              </w:rPr>
              <w:t>Paper Ref</w:t>
            </w:r>
          </w:p>
        </w:tc>
        <w:tc>
          <w:tcPr>
            <w:tcW w:w="1278" w:type="dxa"/>
            <w:tcBorders>
              <w:top w:val="single" w:sz="4" w:space="0" w:color="auto"/>
              <w:bottom w:val="single" w:sz="4" w:space="0" w:color="auto"/>
            </w:tcBorders>
            <w:shd w:val="clear" w:color="auto" w:fill="D9D9D9" w:themeFill="background1" w:themeFillShade="D9"/>
          </w:tcPr>
          <w:p w14:paraId="13F87381" w14:textId="29A2772C" w:rsidR="002403AA" w:rsidRDefault="002403AA" w:rsidP="002403AA">
            <w:pPr>
              <w:rPr>
                <w:color w:val="621B40"/>
                <w:sz w:val="16"/>
                <w:szCs w:val="16"/>
              </w:rPr>
            </w:pPr>
            <w:r>
              <w:rPr>
                <w:color w:val="621B40"/>
                <w:sz w:val="16"/>
                <w:szCs w:val="16"/>
              </w:rPr>
              <w:t>10</w:t>
            </w:r>
          </w:p>
          <w:p w14:paraId="2537A5C0" w14:textId="4F4895E8" w:rsidR="002403AA" w:rsidRDefault="002403AA" w:rsidP="002403AA">
            <w:pPr>
              <w:rPr>
                <w:color w:val="621B40"/>
                <w:sz w:val="16"/>
                <w:szCs w:val="16"/>
              </w:rPr>
            </w:pPr>
            <w:r>
              <w:rPr>
                <w:color w:val="621B40"/>
                <w:sz w:val="16"/>
                <w:szCs w:val="16"/>
              </w:rPr>
              <w:t>FEC/4/22</w:t>
            </w:r>
            <w:r w:rsidRPr="00627E3D">
              <w:rPr>
                <w:color w:val="621B40"/>
                <w:sz w:val="16"/>
                <w:szCs w:val="16"/>
              </w:rPr>
              <w:t>/</w:t>
            </w:r>
            <w:r>
              <w:rPr>
                <w:color w:val="621B40"/>
                <w:sz w:val="16"/>
                <w:szCs w:val="16"/>
              </w:rPr>
              <w:t>10</w:t>
            </w:r>
          </w:p>
          <w:p w14:paraId="66F53AF4" w14:textId="7B83BA93" w:rsidR="002403AA" w:rsidRDefault="002403AA" w:rsidP="002403AA">
            <w:pPr>
              <w:rPr>
                <w:color w:val="621B40"/>
                <w:sz w:val="16"/>
                <w:szCs w:val="16"/>
              </w:rPr>
            </w:pPr>
            <w:r>
              <w:rPr>
                <w:color w:val="621B40"/>
                <w:sz w:val="16"/>
                <w:szCs w:val="16"/>
              </w:rPr>
              <w:t>Confidential</w:t>
            </w:r>
          </w:p>
        </w:tc>
        <w:tc>
          <w:tcPr>
            <w:tcW w:w="5242" w:type="dxa"/>
            <w:gridSpan w:val="2"/>
            <w:tcBorders>
              <w:top w:val="single" w:sz="4" w:space="0" w:color="auto"/>
              <w:bottom w:val="single" w:sz="4" w:space="0" w:color="auto"/>
            </w:tcBorders>
            <w:shd w:val="clear" w:color="auto" w:fill="D9D9D9" w:themeFill="background1" w:themeFillShade="D9"/>
          </w:tcPr>
          <w:p w14:paraId="68E389F7" w14:textId="08FD9D87" w:rsidR="002403AA" w:rsidRPr="00F34AF9" w:rsidRDefault="002403AA" w:rsidP="002403AA">
            <w:pPr>
              <w:rPr>
                <w:b/>
                <w:bCs/>
                <w:color w:val="621B40"/>
              </w:rPr>
            </w:pPr>
            <w:r>
              <w:rPr>
                <w:b/>
                <w:bCs/>
                <w:color w:val="621B40"/>
              </w:rPr>
              <w:t xml:space="preserve">Budget 2022/23 and Financial Forecast </w:t>
            </w:r>
          </w:p>
        </w:tc>
        <w:tc>
          <w:tcPr>
            <w:tcW w:w="709" w:type="dxa"/>
            <w:tcBorders>
              <w:top w:val="single" w:sz="4" w:space="0" w:color="auto"/>
              <w:bottom w:val="single" w:sz="4" w:space="0" w:color="auto"/>
            </w:tcBorders>
            <w:shd w:val="clear" w:color="auto" w:fill="D9D9D9" w:themeFill="background1" w:themeFillShade="D9"/>
          </w:tcPr>
          <w:p w14:paraId="7C30B513" w14:textId="2E130F99" w:rsidR="002403AA" w:rsidRPr="005566E3" w:rsidRDefault="002403AA" w:rsidP="002403AA">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739F8CC4" w14:textId="6F1269B2" w:rsidR="002403AA" w:rsidRPr="008D470E" w:rsidRDefault="002403AA" w:rsidP="002403AA">
            <w:pPr>
              <w:rPr>
                <w:color w:val="621B40"/>
              </w:rPr>
            </w:pPr>
            <w:r>
              <w:rPr>
                <w:color w:val="621B40"/>
              </w:rPr>
              <w:t>FEC/4/22/10</w:t>
            </w:r>
          </w:p>
        </w:tc>
      </w:tr>
      <w:tr w:rsidR="002403AA" w:rsidRPr="005566E3" w14:paraId="7DC5FFA5"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3398903A" w14:textId="54AD8C09" w:rsidR="002403AA" w:rsidRPr="00355C38" w:rsidRDefault="002403AA" w:rsidP="002403AA">
            <w:pPr>
              <w:spacing w:before="60"/>
              <w:ind w:left="-108" w:right="-102"/>
              <w:jc w:val="right"/>
            </w:pPr>
            <w:r>
              <w:t>10.1</w:t>
            </w:r>
          </w:p>
        </w:tc>
        <w:tc>
          <w:tcPr>
            <w:tcW w:w="8788" w:type="dxa"/>
            <w:gridSpan w:val="5"/>
            <w:tcBorders>
              <w:top w:val="single" w:sz="4" w:space="0" w:color="auto"/>
              <w:bottom w:val="single" w:sz="4" w:space="0" w:color="auto"/>
            </w:tcBorders>
            <w:shd w:val="clear" w:color="auto" w:fill="auto"/>
          </w:tcPr>
          <w:p w14:paraId="5F9C42FE" w14:textId="6CC7AA77" w:rsidR="002403AA" w:rsidRDefault="002403AA" w:rsidP="002403AA">
            <w:pPr>
              <w:spacing w:before="60" w:after="60"/>
            </w:pPr>
            <w:r>
              <w:t xml:space="preserve">The Interim Chief Finance Officer (ICFO) presented the 2022/23 Budget and 5-year Financial Forecast, noting that there had been no changes </w:t>
            </w:r>
            <w:r w:rsidRPr="00266D21">
              <w:t xml:space="preserve"> to the </w:t>
            </w:r>
            <w:r>
              <w:t xml:space="preserve">underlying </w:t>
            </w:r>
            <w:r w:rsidRPr="00266D21">
              <w:t xml:space="preserve">assumptions presented to </w:t>
            </w:r>
            <w:r>
              <w:t>the Committee</w:t>
            </w:r>
            <w:r w:rsidRPr="00266D21">
              <w:t xml:space="preserve"> in May</w:t>
            </w:r>
            <w:r>
              <w:t xml:space="preserve"> 2022.  </w:t>
            </w:r>
          </w:p>
          <w:p w14:paraId="23AAD204" w14:textId="01568841" w:rsidR="002403AA" w:rsidRDefault="002403AA" w:rsidP="002403AA">
            <w:pPr>
              <w:spacing w:before="60" w:after="60"/>
            </w:pPr>
            <w:r>
              <w:lastRenderedPageBreak/>
              <w:t>Key aspects included:</w:t>
            </w:r>
          </w:p>
          <w:p w14:paraId="2014E9A5" w14:textId="2B95D8B7" w:rsidR="002403AA" w:rsidRPr="008B560F" w:rsidRDefault="002403AA" w:rsidP="002403AA">
            <w:pPr>
              <w:pStyle w:val="ListParagraph"/>
              <w:numPr>
                <w:ilvl w:val="0"/>
                <w:numId w:val="17"/>
              </w:numPr>
              <w:jc w:val="both"/>
              <w:rPr>
                <w:rFonts w:eastAsiaTheme="minorEastAsia"/>
              </w:rPr>
            </w:pPr>
            <w:r>
              <w:t>detailed budget preparation for years 1-3 of the Forecast including the approach to student number planning and financial target setting for departments and directorates;</w:t>
            </w:r>
          </w:p>
          <w:p w14:paraId="38040030" w14:textId="4136CB20" w:rsidR="002403AA" w:rsidRPr="008B560F" w:rsidRDefault="002403AA" w:rsidP="002403AA">
            <w:pPr>
              <w:pStyle w:val="ListParagraph"/>
              <w:numPr>
                <w:ilvl w:val="0"/>
                <w:numId w:val="17"/>
              </w:numPr>
              <w:jc w:val="both"/>
              <w:rPr>
                <w:rFonts w:eastAsiaTheme="minorEastAsia"/>
              </w:rPr>
            </w:pPr>
            <w:r>
              <w:t xml:space="preserve">extrapolation of the Forecast to years 4 and 5 using agreed assumptions </w:t>
            </w:r>
          </w:p>
          <w:p w14:paraId="5F44451A" w14:textId="2FD6432A" w:rsidR="002403AA" w:rsidRPr="008B560F" w:rsidRDefault="002403AA" w:rsidP="002403AA">
            <w:pPr>
              <w:pStyle w:val="ListParagraph"/>
              <w:numPr>
                <w:ilvl w:val="0"/>
                <w:numId w:val="17"/>
              </w:numPr>
              <w:spacing w:before="60" w:after="60"/>
              <w:jc w:val="both"/>
              <w:rPr>
                <w:rFonts w:eastAsiaTheme="minorEastAsia"/>
              </w:rPr>
            </w:pPr>
            <w:r>
              <w:t>inclusion of the different FSP work strands/strategic projects and associated income within College budgets (excluding the FSP Online Project);</w:t>
            </w:r>
          </w:p>
          <w:p w14:paraId="75B64AE9" w14:textId="40C78319" w:rsidR="002403AA" w:rsidRPr="008B560F" w:rsidRDefault="002403AA" w:rsidP="002403AA">
            <w:pPr>
              <w:pStyle w:val="ListParagraph"/>
              <w:numPr>
                <w:ilvl w:val="0"/>
                <w:numId w:val="17"/>
              </w:numPr>
              <w:jc w:val="both"/>
              <w:rPr>
                <w:rFonts w:eastAsiaTheme="minorEastAsia"/>
              </w:rPr>
            </w:pPr>
            <w:r>
              <w:t xml:space="preserve">the significant income growth over the Forecast period; </w:t>
            </w:r>
          </w:p>
          <w:p w14:paraId="7B545D0E" w14:textId="541DD2C6" w:rsidR="002403AA" w:rsidRDefault="002403AA" w:rsidP="002403AA">
            <w:pPr>
              <w:pStyle w:val="ListParagraph"/>
              <w:numPr>
                <w:ilvl w:val="0"/>
                <w:numId w:val="17"/>
              </w:numPr>
              <w:spacing w:before="60" w:after="60"/>
            </w:pPr>
            <w:r>
              <w:t>increasing pay costs (as a percentage of income) attributed to inflation, pensions and the new posts in support of FSP;</w:t>
            </w:r>
          </w:p>
          <w:p w14:paraId="2EAB9D25" w14:textId="49507E21" w:rsidR="002403AA" w:rsidRDefault="002403AA" w:rsidP="002403AA">
            <w:pPr>
              <w:pStyle w:val="ListParagraph"/>
              <w:numPr>
                <w:ilvl w:val="0"/>
                <w:numId w:val="17"/>
              </w:numPr>
              <w:spacing w:before="60" w:after="60"/>
            </w:pPr>
            <w:r>
              <w:t xml:space="preserve">increases in non-pay costs including FSP investment and updated Campus Plan expenditure to account for inflation; </w:t>
            </w:r>
          </w:p>
          <w:p w14:paraId="1BFBE88C" w14:textId="0E674050" w:rsidR="002403AA" w:rsidRDefault="002403AA" w:rsidP="002403AA">
            <w:pPr>
              <w:pStyle w:val="ListParagraph"/>
              <w:numPr>
                <w:ilvl w:val="0"/>
                <w:numId w:val="17"/>
              </w:numPr>
              <w:spacing w:before="60" w:after="60"/>
            </w:pPr>
            <w:r>
              <w:t xml:space="preserve">the outcome of sensitivity analysis and the low risk of breaching existing financial covenants; </w:t>
            </w:r>
          </w:p>
          <w:p w14:paraId="6CF4EC59" w14:textId="78F2E47B" w:rsidR="002403AA" w:rsidRDefault="002403AA" w:rsidP="002403AA">
            <w:pPr>
              <w:pStyle w:val="ListParagraph"/>
              <w:numPr>
                <w:ilvl w:val="0"/>
                <w:numId w:val="17"/>
              </w:numPr>
              <w:spacing w:before="60" w:after="60"/>
            </w:pPr>
            <w:r>
              <w:t>the risk presented by the Home undergraduate market from Year 2 of the Forecast and the opportunity around international student fees</w:t>
            </w:r>
            <w:r w:rsidRPr="001C491E">
              <w:t>. The ICFO would update the Committee on whether new CASs would be authorised by UKVI to accommodate the growth provision;</w:t>
            </w:r>
          </w:p>
          <w:p w14:paraId="5667C41D" w14:textId="2910915D" w:rsidR="002403AA" w:rsidRDefault="002403AA" w:rsidP="002403AA">
            <w:pPr>
              <w:pStyle w:val="ListParagraph"/>
              <w:numPr>
                <w:ilvl w:val="0"/>
                <w:numId w:val="17"/>
              </w:numPr>
              <w:spacing w:before="60" w:after="60"/>
            </w:pPr>
            <w:r>
              <w:t>the requirement for 3% efficiency saving across the University; and</w:t>
            </w:r>
          </w:p>
          <w:p w14:paraId="4D1A1C8C" w14:textId="5E96B801" w:rsidR="002403AA" w:rsidRPr="00B174A4" w:rsidRDefault="002403AA" w:rsidP="002403AA">
            <w:pPr>
              <w:pStyle w:val="ListParagraph"/>
              <w:numPr>
                <w:ilvl w:val="0"/>
                <w:numId w:val="17"/>
              </w:numPr>
              <w:spacing w:before="60" w:after="60"/>
            </w:pPr>
            <w:r>
              <w:t xml:space="preserve">the small operating surplus in 2022/23 and 2023/24 which increased over the plan period and the strong balance sheet position. </w:t>
            </w:r>
          </w:p>
        </w:tc>
      </w:tr>
      <w:tr w:rsidR="002403AA" w:rsidRPr="005566E3" w14:paraId="7F2526C5"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6145A059" w14:textId="77777777" w:rsidR="002403AA" w:rsidRDefault="002403AA" w:rsidP="002403AA">
            <w:pPr>
              <w:spacing w:before="60"/>
              <w:ind w:left="-108" w:right="-102"/>
              <w:jc w:val="right"/>
            </w:pPr>
          </w:p>
        </w:tc>
        <w:tc>
          <w:tcPr>
            <w:tcW w:w="8788" w:type="dxa"/>
            <w:gridSpan w:val="5"/>
            <w:tcBorders>
              <w:top w:val="single" w:sz="4" w:space="0" w:color="auto"/>
              <w:bottom w:val="single" w:sz="4" w:space="0" w:color="auto"/>
            </w:tcBorders>
            <w:shd w:val="clear" w:color="auto" w:fill="auto"/>
          </w:tcPr>
          <w:p w14:paraId="4984535C" w14:textId="4B703EB6" w:rsidR="002403AA" w:rsidRPr="00BB31D2" w:rsidRDefault="002403AA" w:rsidP="002403AA">
            <w:pPr>
              <w:spacing w:before="60" w:after="60"/>
            </w:pPr>
            <w:r w:rsidRPr="00BB31D2">
              <w:t>University responses to members’ queries are noted below:</w:t>
            </w:r>
          </w:p>
          <w:p w14:paraId="33DB9C70" w14:textId="636D9D42" w:rsidR="002403AA" w:rsidRPr="00BB31D2" w:rsidRDefault="002403AA" w:rsidP="002403AA">
            <w:pPr>
              <w:pStyle w:val="ListParagraph"/>
              <w:numPr>
                <w:ilvl w:val="0"/>
                <w:numId w:val="18"/>
              </w:numPr>
              <w:spacing w:before="60" w:after="60"/>
            </w:pPr>
            <w:r w:rsidRPr="00BB31D2">
              <w:t>why were the various FSP elements separated out in the budget and what was the reporting structure? The ICFO confirmed the importance of tracking the various  workstreams and that responsibility for delivering the FSP projects rested with the FSP Board/Steering Group (which included ULT members), coupled with approval of investment by the appropriate DVC. Whilst FSP Income was included within College budgets, expenditure related to the investment in, and delivery of, FSP related income growth was held within FSP Academic and FSP Professional Services budgets which allowed the Deputy Vice-Chancellors to ensure optimum resource allocation. Work with the Colleges on developing a more integrated approach to facilitate FSP monitoring was underway;</w:t>
            </w:r>
          </w:p>
          <w:p w14:paraId="19B1C994" w14:textId="345EC223" w:rsidR="002403AA" w:rsidRPr="00BB31D2" w:rsidRDefault="002403AA" w:rsidP="002403AA">
            <w:pPr>
              <w:pStyle w:val="ListParagraph"/>
              <w:numPr>
                <w:ilvl w:val="0"/>
                <w:numId w:val="18"/>
              </w:numPr>
              <w:spacing w:before="60" w:after="60"/>
            </w:pPr>
            <w:r w:rsidRPr="00BB31D2">
              <w:t xml:space="preserve">the basis of the inflation assumptions and whether the expected spike in inflation should be factored in – the University had considered the numbers issued from National Statistics Agency and other government depts as well as the approach taken by other universities. The </w:t>
            </w:r>
            <w:r>
              <w:t>spike had been factored in to a certain extent, however the Finance Team</w:t>
            </w:r>
            <w:r w:rsidRPr="00BB31D2">
              <w:t xml:space="preserve"> </w:t>
            </w:r>
            <w:r>
              <w:t>continued to look at</w:t>
            </w:r>
            <w:r w:rsidRPr="00BB31D2">
              <w:t xml:space="preserve"> the</w:t>
            </w:r>
            <w:r>
              <w:t xml:space="preserve"> varying</w:t>
            </w:r>
            <w:r w:rsidRPr="00BB31D2">
              <w:t xml:space="preserve"> impact of inflation on specific cost areas </w:t>
            </w:r>
            <w:r>
              <w:t>in advance of</w:t>
            </w:r>
            <w:r w:rsidRPr="00BB31D2">
              <w:t xml:space="preserve"> the opportunity to update the Forecast in October; </w:t>
            </w:r>
          </w:p>
          <w:p w14:paraId="0BCA0BAE" w14:textId="3E1B5CA0" w:rsidR="002403AA" w:rsidRPr="00BB31D2" w:rsidRDefault="002403AA" w:rsidP="002403AA">
            <w:pPr>
              <w:pStyle w:val="ListParagraph"/>
              <w:numPr>
                <w:ilvl w:val="0"/>
                <w:numId w:val="18"/>
              </w:numPr>
              <w:spacing w:before="60" w:after="60"/>
            </w:pPr>
            <w:r>
              <w:t>whether</w:t>
            </w:r>
            <w:r w:rsidRPr="00BB31D2">
              <w:t xml:space="preserve"> </w:t>
            </w:r>
            <w:r>
              <w:t>the</w:t>
            </w:r>
            <w:r w:rsidRPr="00BB31D2">
              <w:t xml:space="preserve"> vacancy </w:t>
            </w:r>
            <w:r>
              <w:t>rate</w:t>
            </w:r>
            <w:r w:rsidRPr="00BB31D2">
              <w:t xml:space="preserve"> of 5% </w:t>
            </w:r>
            <w:r>
              <w:t>(coupled with the 3% efficiency target) posed a</w:t>
            </w:r>
            <w:r w:rsidRPr="00BB31D2">
              <w:t xml:space="preserve"> risk </w:t>
            </w:r>
            <w:r>
              <w:t>on the</w:t>
            </w:r>
            <w:r w:rsidRPr="00BB31D2">
              <w:t xml:space="preserve"> forecast student number growth over the period</w:t>
            </w:r>
            <w:r>
              <w:t xml:space="preserve"> and the need for the </w:t>
            </w:r>
            <w:r w:rsidRPr="00BB31D2">
              <w:t xml:space="preserve">Committee </w:t>
            </w:r>
            <w:r>
              <w:t xml:space="preserve">to receive </w:t>
            </w:r>
            <w:r w:rsidRPr="00BB31D2">
              <w:t>assurance early on that</w:t>
            </w:r>
            <w:r>
              <w:t xml:space="preserve"> recruitment</w:t>
            </w:r>
            <w:r w:rsidRPr="00BB31D2">
              <w:t xml:space="preserve"> targets were on track. </w:t>
            </w:r>
            <w:r>
              <w:t>It was reported that t</w:t>
            </w:r>
            <w:r w:rsidRPr="00BB31D2">
              <w:t xml:space="preserve">he 5% was higher than </w:t>
            </w:r>
            <w:r>
              <w:t xml:space="preserve">in </w:t>
            </w:r>
            <w:r w:rsidRPr="00BB31D2">
              <w:t>previous years but</w:t>
            </w:r>
            <w:r>
              <w:t xml:space="preserve"> difficulties in staff recruitment were likely to continue.</w:t>
            </w:r>
            <w:r w:rsidRPr="00BB31D2">
              <w:t xml:space="preserve"> </w:t>
            </w:r>
            <w:r>
              <w:t>The ICFO acknowledged that t</w:t>
            </w:r>
            <w:r w:rsidRPr="00BB31D2">
              <w:t xml:space="preserve">he 3% </w:t>
            </w:r>
            <w:r>
              <w:t xml:space="preserve">target </w:t>
            </w:r>
            <w:r w:rsidRPr="00BB31D2">
              <w:t>combined with the new posts required for FSP developments was a challenge</w:t>
            </w:r>
            <w:r>
              <w:t>, but that the University was exploring this</w:t>
            </w:r>
            <w:r w:rsidRPr="00BB31D2">
              <w:t xml:space="preserve"> </w:t>
            </w:r>
            <w:r>
              <w:t xml:space="preserve">as </w:t>
            </w:r>
            <w:r w:rsidRPr="00BB31D2">
              <w:t xml:space="preserve">part of </w:t>
            </w:r>
            <w:r>
              <w:t xml:space="preserve">the </w:t>
            </w:r>
            <w:r w:rsidRPr="00BB31D2">
              <w:t>FSP organisational responsiveness workstream</w:t>
            </w:r>
            <w:r>
              <w:t xml:space="preserve">, an update on which would be presented to the </w:t>
            </w:r>
            <w:r w:rsidRPr="00BB31D2">
              <w:t>Bof</w:t>
            </w:r>
            <w:r>
              <w:t>G</w:t>
            </w:r>
            <w:r w:rsidRPr="00BB31D2">
              <w:t xml:space="preserve"> </w:t>
            </w:r>
            <w:r>
              <w:t>in July.</w:t>
            </w:r>
          </w:p>
          <w:p w14:paraId="47255B1C" w14:textId="1A118808" w:rsidR="002403AA" w:rsidRPr="00BB31D2" w:rsidRDefault="002403AA" w:rsidP="002403AA">
            <w:pPr>
              <w:pStyle w:val="ListParagraph"/>
              <w:numPr>
                <w:ilvl w:val="0"/>
                <w:numId w:val="18"/>
              </w:numPr>
              <w:spacing w:before="60" w:after="60"/>
            </w:pPr>
            <w:r>
              <w:t xml:space="preserve">the envisaged timeline to resolve the </w:t>
            </w:r>
            <w:r w:rsidRPr="00BB31D2">
              <w:t>LGPS contribution issue –</w:t>
            </w:r>
            <w:r>
              <w:t xml:space="preserve"> </w:t>
            </w:r>
            <w:r w:rsidRPr="00BB31D2">
              <w:t xml:space="preserve">it was anticipated that the outcome would be known </w:t>
            </w:r>
            <w:r>
              <w:t>by</w:t>
            </w:r>
            <w:r w:rsidRPr="00BB31D2">
              <w:t xml:space="preserve"> the end of calendar year,</w:t>
            </w:r>
            <w:r>
              <w:t xml:space="preserve"> but should further information be available before then, this would be reflected in the autumn update of</w:t>
            </w:r>
            <w:r w:rsidRPr="00BB31D2">
              <w:t xml:space="preserve"> the Forecas</w:t>
            </w:r>
            <w:r>
              <w:t>t</w:t>
            </w:r>
            <w:r w:rsidRPr="00BB31D2">
              <w:t>.</w:t>
            </w:r>
          </w:p>
        </w:tc>
      </w:tr>
      <w:tr w:rsidR="002403AA" w:rsidRPr="005566E3" w14:paraId="2F37026E"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258D5D32" w14:textId="793CC8F7" w:rsidR="002403AA" w:rsidRDefault="002403AA" w:rsidP="002403AA">
            <w:pPr>
              <w:spacing w:before="60"/>
              <w:ind w:left="-108" w:right="-102"/>
              <w:jc w:val="right"/>
            </w:pPr>
            <w:r>
              <w:lastRenderedPageBreak/>
              <w:t>10.2</w:t>
            </w:r>
          </w:p>
        </w:tc>
        <w:tc>
          <w:tcPr>
            <w:tcW w:w="8788" w:type="dxa"/>
            <w:gridSpan w:val="5"/>
            <w:tcBorders>
              <w:top w:val="single" w:sz="4" w:space="0" w:color="auto"/>
              <w:bottom w:val="single" w:sz="4" w:space="0" w:color="auto"/>
            </w:tcBorders>
            <w:shd w:val="clear" w:color="auto" w:fill="auto"/>
          </w:tcPr>
          <w:p w14:paraId="3B3D06B4" w14:textId="71AEDF65" w:rsidR="002403AA" w:rsidRDefault="002403AA" w:rsidP="002403AA">
            <w:pPr>
              <w:spacing w:before="60" w:after="60"/>
            </w:pPr>
            <w:r>
              <w:t xml:space="preserve">The Committee resolved to </w:t>
            </w:r>
            <w:r>
              <w:rPr>
                <w:b/>
                <w:bCs/>
              </w:rPr>
              <w:t>recommend</w:t>
            </w:r>
            <w:r w:rsidRPr="007773D3">
              <w:t xml:space="preserve"> the 2022/23 Budget</w:t>
            </w:r>
            <w:r>
              <w:t xml:space="preserve"> to the BoFG for approval</w:t>
            </w:r>
            <w:r w:rsidRPr="007773D3">
              <w:t>, noting that the Financial Forecast would be updated following September enrolment prior to submission to the OfS.</w:t>
            </w:r>
          </w:p>
        </w:tc>
      </w:tr>
      <w:tr w:rsidR="002403AA" w:rsidRPr="008D470E" w14:paraId="21CEF1E2"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D9D9D9" w:themeFill="background1" w:themeFillShade="D9"/>
          </w:tcPr>
          <w:p w14:paraId="2F3FEE54" w14:textId="77777777" w:rsidR="002403AA" w:rsidRPr="005566E3" w:rsidRDefault="002403AA" w:rsidP="002403AA">
            <w:pPr>
              <w:ind w:left="-108" w:right="-102"/>
              <w:jc w:val="right"/>
              <w:rPr>
                <w:color w:val="621B40"/>
                <w:sz w:val="16"/>
                <w:szCs w:val="16"/>
              </w:rPr>
            </w:pPr>
            <w:bookmarkStart w:id="4" w:name="_Hlk106279203"/>
            <w:r w:rsidRPr="005566E3">
              <w:rPr>
                <w:color w:val="621B40"/>
                <w:sz w:val="16"/>
                <w:szCs w:val="16"/>
              </w:rPr>
              <w:t>Agenda item</w:t>
            </w:r>
          </w:p>
          <w:p w14:paraId="42A6E3CF" w14:textId="77777777" w:rsidR="002403AA" w:rsidRPr="005566E3" w:rsidRDefault="002403AA" w:rsidP="002403AA">
            <w:pPr>
              <w:ind w:left="-108" w:right="-102"/>
              <w:jc w:val="right"/>
              <w:rPr>
                <w:color w:val="621B40"/>
                <w:sz w:val="16"/>
                <w:szCs w:val="16"/>
              </w:rPr>
            </w:pPr>
            <w:r w:rsidRPr="005566E3">
              <w:rPr>
                <w:color w:val="621B40"/>
                <w:sz w:val="16"/>
                <w:szCs w:val="16"/>
              </w:rPr>
              <w:t>Paper Ref</w:t>
            </w:r>
          </w:p>
        </w:tc>
        <w:tc>
          <w:tcPr>
            <w:tcW w:w="1278" w:type="dxa"/>
            <w:tcBorders>
              <w:top w:val="single" w:sz="4" w:space="0" w:color="auto"/>
              <w:bottom w:val="single" w:sz="4" w:space="0" w:color="auto"/>
            </w:tcBorders>
            <w:shd w:val="clear" w:color="auto" w:fill="D9D9D9" w:themeFill="background1" w:themeFillShade="D9"/>
          </w:tcPr>
          <w:p w14:paraId="177E4721" w14:textId="08A4506D" w:rsidR="002403AA" w:rsidRDefault="002403AA" w:rsidP="002403AA">
            <w:pPr>
              <w:rPr>
                <w:color w:val="621B40"/>
                <w:sz w:val="16"/>
                <w:szCs w:val="16"/>
              </w:rPr>
            </w:pPr>
            <w:r>
              <w:rPr>
                <w:color w:val="621B40"/>
                <w:sz w:val="16"/>
                <w:szCs w:val="16"/>
              </w:rPr>
              <w:t>11</w:t>
            </w:r>
          </w:p>
          <w:p w14:paraId="482D357B" w14:textId="28CCEA22" w:rsidR="002403AA" w:rsidRDefault="002403AA" w:rsidP="002403AA">
            <w:pPr>
              <w:rPr>
                <w:color w:val="621B40"/>
                <w:sz w:val="16"/>
                <w:szCs w:val="16"/>
              </w:rPr>
            </w:pPr>
            <w:r>
              <w:rPr>
                <w:color w:val="621B40"/>
                <w:sz w:val="16"/>
                <w:szCs w:val="16"/>
              </w:rPr>
              <w:t>FEC/4/22</w:t>
            </w:r>
            <w:r w:rsidRPr="00F34AF9">
              <w:rPr>
                <w:color w:val="621B40"/>
                <w:sz w:val="16"/>
                <w:szCs w:val="16"/>
              </w:rPr>
              <w:t>/</w:t>
            </w:r>
            <w:r>
              <w:rPr>
                <w:color w:val="621B40"/>
                <w:sz w:val="16"/>
                <w:szCs w:val="16"/>
              </w:rPr>
              <w:t>11</w:t>
            </w:r>
          </w:p>
          <w:p w14:paraId="627B890A" w14:textId="6E3FE45C" w:rsidR="002403AA" w:rsidRDefault="002403AA" w:rsidP="002403AA">
            <w:pPr>
              <w:rPr>
                <w:color w:val="621B40"/>
                <w:sz w:val="16"/>
                <w:szCs w:val="16"/>
              </w:rPr>
            </w:pPr>
            <w:r>
              <w:rPr>
                <w:color w:val="621B40"/>
                <w:sz w:val="16"/>
                <w:szCs w:val="16"/>
              </w:rPr>
              <w:t>Confidential</w:t>
            </w:r>
          </w:p>
        </w:tc>
        <w:tc>
          <w:tcPr>
            <w:tcW w:w="5242" w:type="dxa"/>
            <w:gridSpan w:val="2"/>
            <w:tcBorders>
              <w:top w:val="single" w:sz="4" w:space="0" w:color="auto"/>
              <w:bottom w:val="single" w:sz="4" w:space="0" w:color="auto"/>
            </w:tcBorders>
            <w:shd w:val="clear" w:color="auto" w:fill="D9D9D9" w:themeFill="background1" w:themeFillShade="D9"/>
          </w:tcPr>
          <w:p w14:paraId="38452C7C" w14:textId="6F3029F2" w:rsidR="002403AA" w:rsidRDefault="002403AA" w:rsidP="002403AA">
            <w:pPr>
              <w:rPr>
                <w:b/>
                <w:bCs/>
                <w:color w:val="621B40"/>
              </w:rPr>
            </w:pPr>
            <w:r>
              <w:rPr>
                <w:b/>
                <w:bCs/>
                <w:color w:val="621B40"/>
              </w:rPr>
              <w:t xml:space="preserve">Financial Monitoring </w:t>
            </w:r>
          </w:p>
        </w:tc>
        <w:tc>
          <w:tcPr>
            <w:tcW w:w="709" w:type="dxa"/>
            <w:tcBorders>
              <w:top w:val="single" w:sz="4" w:space="0" w:color="auto"/>
              <w:bottom w:val="single" w:sz="4" w:space="0" w:color="auto"/>
            </w:tcBorders>
            <w:shd w:val="clear" w:color="auto" w:fill="D9D9D9" w:themeFill="background1" w:themeFillShade="D9"/>
          </w:tcPr>
          <w:p w14:paraId="50C86172" w14:textId="77777777" w:rsidR="002403AA" w:rsidRPr="005566E3" w:rsidRDefault="002403AA" w:rsidP="002403AA">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324F286F" w14:textId="69B6622B" w:rsidR="002403AA" w:rsidRPr="008D470E" w:rsidRDefault="002403AA" w:rsidP="002403AA">
            <w:pPr>
              <w:rPr>
                <w:color w:val="621B40"/>
              </w:rPr>
            </w:pPr>
            <w:r>
              <w:rPr>
                <w:color w:val="621B40"/>
              </w:rPr>
              <w:t>FEC/4/22/11</w:t>
            </w:r>
          </w:p>
        </w:tc>
      </w:tr>
      <w:tr w:rsidR="002403AA" w:rsidRPr="005566E3" w14:paraId="34471452"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3434CC30" w14:textId="546BFBAB" w:rsidR="002403AA" w:rsidRPr="007D0C21" w:rsidRDefault="002403AA" w:rsidP="002403AA">
            <w:pPr>
              <w:spacing w:before="60"/>
              <w:ind w:left="-108" w:right="-102"/>
              <w:jc w:val="right"/>
            </w:pPr>
            <w:r>
              <w:t>11.1</w:t>
            </w:r>
          </w:p>
        </w:tc>
        <w:tc>
          <w:tcPr>
            <w:tcW w:w="8788" w:type="dxa"/>
            <w:gridSpan w:val="5"/>
            <w:tcBorders>
              <w:top w:val="single" w:sz="4" w:space="0" w:color="auto"/>
              <w:bottom w:val="single" w:sz="4" w:space="0" w:color="auto"/>
            </w:tcBorders>
            <w:shd w:val="clear" w:color="auto" w:fill="auto"/>
          </w:tcPr>
          <w:p w14:paraId="0E90E7F5" w14:textId="7E9012B6" w:rsidR="002403AA" w:rsidRDefault="002403AA" w:rsidP="002403AA">
            <w:pPr>
              <w:spacing w:before="60" w:after="60"/>
            </w:pPr>
            <w:r>
              <w:t xml:space="preserve">The Committee noted the improved financial position for Period 9 as at 30 April 2022 due to a higher staff vacancy rate than originally anticipated. </w:t>
            </w:r>
          </w:p>
          <w:p w14:paraId="7F532889" w14:textId="65D0F6D3" w:rsidR="002403AA" w:rsidRPr="007D0C21" w:rsidRDefault="002403AA" w:rsidP="002403AA">
            <w:pPr>
              <w:spacing w:before="60" w:after="60"/>
            </w:pPr>
            <w:r>
              <w:t xml:space="preserve">Members queried the proportionality of international recruitment and noted that work  connected to FSP on attracting Home students to reverse the decline in market share was being undertaken including market analysis on subject area growth, marketing campaigns and advertising strategies. </w:t>
            </w:r>
          </w:p>
        </w:tc>
      </w:tr>
      <w:tr w:rsidR="002403AA" w:rsidRPr="008D470E" w14:paraId="6FDFB616"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D9D9D9" w:themeFill="background1" w:themeFillShade="D9"/>
          </w:tcPr>
          <w:p w14:paraId="1D2C8C0A" w14:textId="77777777" w:rsidR="002403AA" w:rsidRPr="005566E3" w:rsidRDefault="002403AA" w:rsidP="002403AA">
            <w:pPr>
              <w:ind w:left="-108" w:right="-102"/>
              <w:jc w:val="right"/>
              <w:rPr>
                <w:color w:val="621B40"/>
                <w:sz w:val="16"/>
                <w:szCs w:val="16"/>
              </w:rPr>
            </w:pPr>
            <w:r w:rsidRPr="005566E3">
              <w:rPr>
                <w:color w:val="621B40"/>
                <w:sz w:val="16"/>
                <w:szCs w:val="16"/>
              </w:rPr>
              <w:t>Agenda item</w:t>
            </w:r>
          </w:p>
          <w:p w14:paraId="51051780" w14:textId="77777777" w:rsidR="002403AA" w:rsidRPr="005566E3" w:rsidRDefault="002403AA" w:rsidP="002403AA">
            <w:pPr>
              <w:ind w:left="-108" w:right="-102"/>
              <w:jc w:val="right"/>
              <w:rPr>
                <w:color w:val="621B40"/>
                <w:sz w:val="16"/>
                <w:szCs w:val="16"/>
              </w:rPr>
            </w:pPr>
            <w:r w:rsidRPr="005566E3">
              <w:rPr>
                <w:color w:val="621B40"/>
                <w:sz w:val="16"/>
                <w:szCs w:val="16"/>
              </w:rPr>
              <w:t>Paper Ref</w:t>
            </w:r>
          </w:p>
        </w:tc>
        <w:tc>
          <w:tcPr>
            <w:tcW w:w="1278" w:type="dxa"/>
            <w:tcBorders>
              <w:top w:val="single" w:sz="4" w:space="0" w:color="auto"/>
              <w:bottom w:val="single" w:sz="4" w:space="0" w:color="auto"/>
            </w:tcBorders>
            <w:shd w:val="clear" w:color="auto" w:fill="D9D9D9" w:themeFill="background1" w:themeFillShade="D9"/>
          </w:tcPr>
          <w:p w14:paraId="4B63685C" w14:textId="51305DF0" w:rsidR="002403AA" w:rsidRDefault="002403AA" w:rsidP="002403AA">
            <w:pPr>
              <w:rPr>
                <w:color w:val="621B40"/>
                <w:sz w:val="16"/>
                <w:szCs w:val="16"/>
              </w:rPr>
            </w:pPr>
            <w:r>
              <w:rPr>
                <w:color w:val="621B40"/>
                <w:sz w:val="16"/>
                <w:szCs w:val="16"/>
              </w:rPr>
              <w:t>12</w:t>
            </w:r>
          </w:p>
          <w:p w14:paraId="3FA7699D" w14:textId="15574357" w:rsidR="002403AA" w:rsidRDefault="002403AA" w:rsidP="002403AA">
            <w:pPr>
              <w:rPr>
                <w:color w:val="621B40"/>
                <w:sz w:val="16"/>
                <w:szCs w:val="16"/>
              </w:rPr>
            </w:pPr>
            <w:r>
              <w:rPr>
                <w:color w:val="621B40"/>
                <w:sz w:val="16"/>
                <w:szCs w:val="16"/>
              </w:rPr>
              <w:t>FEC/4/22</w:t>
            </w:r>
            <w:r w:rsidRPr="00F34AF9">
              <w:rPr>
                <w:color w:val="621B40"/>
                <w:sz w:val="16"/>
                <w:szCs w:val="16"/>
              </w:rPr>
              <w:t>/</w:t>
            </w:r>
            <w:r>
              <w:rPr>
                <w:color w:val="621B40"/>
                <w:sz w:val="16"/>
                <w:szCs w:val="16"/>
              </w:rPr>
              <w:t>12</w:t>
            </w:r>
          </w:p>
          <w:p w14:paraId="148B7DDC" w14:textId="77777777" w:rsidR="002403AA" w:rsidRDefault="002403AA" w:rsidP="002403AA">
            <w:pPr>
              <w:rPr>
                <w:color w:val="621B40"/>
                <w:sz w:val="16"/>
                <w:szCs w:val="16"/>
              </w:rPr>
            </w:pPr>
            <w:r>
              <w:rPr>
                <w:color w:val="621B40"/>
                <w:sz w:val="16"/>
                <w:szCs w:val="16"/>
              </w:rPr>
              <w:t>Confidential</w:t>
            </w:r>
          </w:p>
        </w:tc>
        <w:tc>
          <w:tcPr>
            <w:tcW w:w="5242" w:type="dxa"/>
            <w:gridSpan w:val="2"/>
            <w:tcBorders>
              <w:top w:val="single" w:sz="4" w:space="0" w:color="auto"/>
              <w:bottom w:val="single" w:sz="4" w:space="0" w:color="auto"/>
            </w:tcBorders>
            <w:shd w:val="clear" w:color="auto" w:fill="D9D9D9" w:themeFill="background1" w:themeFillShade="D9"/>
          </w:tcPr>
          <w:p w14:paraId="466821E2" w14:textId="2DC77C52" w:rsidR="002403AA" w:rsidRDefault="002403AA" w:rsidP="002403AA">
            <w:pPr>
              <w:rPr>
                <w:b/>
                <w:bCs/>
                <w:color w:val="621B40"/>
              </w:rPr>
            </w:pPr>
            <w:r>
              <w:rPr>
                <w:b/>
                <w:bCs/>
                <w:color w:val="621B40"/>
              </w:rPr>
              <w:t xml:space="preserve">Ethical Investment Policy </w:t>
            </w:r>
          </w:p>
        </w:tc>
        <w:tc>
          <w:tcPr>
            <w:tcW w:w="709" w:type="dxa"/>
            <w:tcBorders>
              <w:top w:val="single" w:sz="4" w:space="0" w:color="auto"/>
              <w:bottom w:val="single" w:sz="4" w:space="0" w:color="auto"/>
            </w:tcBorders>
            <w:shd w:val="clear" w:color="auto" w:fill="D9D9D9" w:themeFill="background1" w:themeFillShade="D9"/>
          </w:tcPr>
          <w:p w14:paraId="23E8C773" w14:textId="77777777" w:rsidR="002403AA" w:rsidRPr="005566E3" w:rsidRDefault="002403AA" w:rsidP="002403AA">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34385348" w14:textId="15A13115" w:rsidR="002403AA" w:rsidRPr="008D470E" w:rsidRDefault="002403AA" w:rsidP="002403AA">
            <w:pPr>
              <w:rPr>
                <w:color w:val="621B40"/>
              </w:rPr>
            </w:pPr>
            <w:r>
              <w:rPr>
                <w:color w:val="621B40"/>
              </w:rPr>
              <w:t>FEC/4/22/12</w:t>
            </w:r>
          </w:p>
        </w:tc>
      </w:tr>
      <w:tr w:rsidR="002403AA" w:rsidRPr="005566E3" w14:paraId="0827E1F5"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74596E63" w14:textId="55EA89CC" w:rsidR="002403AA" w:rsidRPr="007D0C21" w:rsidRDefault="002403AA" w:rsidP="002403AA">
            <w:pPr>
              <w:spacing w:before="60"/>
              <w:ind w:left="-108" w:right="-102"/>
              <w:jc w:val="right"/>
            </w:pPr>
            <w:r>
              <w:t>12.1</w:t>
            </w:r>
          </w:p>
        </w:tc>
        <w:tc>
          <w:tcPr>
            <w:tcW w:w="8788" w:type="dxa"/>
            <w:gridSpan w:val="5"/>
            <w:tcBorders>
              <w:top w:val="single" w:sz="4" w:space="0" w:color="auto"/>
              <w:bottom w:val="single" w:sz="4" w:space="0" w:color="auto"/>
            </w:tcBorders>
            <w:shd w:val="clear" w:color="auto" w:fill="auto"/>
          </w:tcPr>
          <w:p w14:paraId="25ECCAAC" w14:textId="615E74AD" w:rsidR="002403AA" w:rsidRPr="007D0C21" w:rsidRDefault="002403AA" w:rsidP="002403AA">
            <w:pPr>
              <w:spacing w:before="60" w:after="60"/>
            </w:pPr>
            <w:r w:rsidRPr="00C93B1E">
              <w:t xml:space="preserve">The  Committee noted </w:t>
            </w:r>
            <w:r>
              <w:t xml:space="preserve">that </w:t>
            </w:r>
            <w:r w:rsidRPr="00C93B1E">
              <w:t>the</w:t>
            </w:r>
            <w:r>
              <w:t xml:space="preserve"> University’s</w:t>
            </w:r>
            <w:r w:rsidRPr="00C93B1E">
              <w:t xml:space="preserve"> annual investments activity were in line with the University’s Ethical Investment Policy</w:t>
            </w:r>
            <w:r>
              <w:t>.</w:t>
            </w:r>
          </w:p>
        </w:tc>
      </w:tr>
      <w:tr w:rsidR="002403AA" w:rsidRPr="005566E3" w14:paraId="16464E17"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3CEC34FF" w14:textId="5E14DC90" w:rsidR="002403AA" w:rsidRDefault="002403AA" w:rsidP="002403AA">
            <w:pPr>
              <w:spacing w:before="60"/>
              <w:ind w:left="-108" w:right="-102"/>
              <w:jc w:val="right"/>
            </w:pPr>
            <w:r>
              <w:t>12.2</w:t>
            </w:r>
          </w:p>
        </w:tc>
        <w:tc>
          <w:tcPr>
            <w:tcW w:w="8788" w:type="dxa"/>
            <w:gridSpan w:val="5"/>
            <w:tcBorders>
              <w:top w:val="single" w:sz="4" w:space="0" w:color="auto"/>
              <w:bottom w:val="single" w:sz="4" w:space="0" w:color="auto"/>
            </w:tcBorders>
            <w:shd w:val="clear" w:color="auto" w:fill="auto"/>
          </w:tcPr>
          <w:p w14:paraId="4CB9FDB1" w14:textId="5D4F8C35" w:rsidR="002403AA" w:rsidRPr="00C93B1E" w:rsidRDefault="002403AA" w:rsidP="002403AA">
            <w:pPr>
              <w:spacing w:before="60" w:after="60"/>
            </w:pPr>
            <w:r>
              <w:t>The ICFO briefed the Committee on the proposed</w:t>
            </w:r>
            <w:r w:rsidRPr="00C93B1E">
              <w:t xml:space="preserve"> revisions to the Policy relating to the specific types of investment the University</w:t>
            </w:r>
            <w:r w:rsidRPr="00126D21">
              <w:t xml:space="preserve"> </w:t>
            </w:r>
            <w:r>
              <w:t xml:space="preserve">may </w:t>
            </w:r>
            <w:r w:rsidRPr="00126D21">
              <w:t>not consider holding on ethical grounds</w:t>
            </w:r>
            <w:r>
              <w:t xml:space="preserve">. Members commented on the absence of several areas of activity and </w:t>
            </w:r>
            <w:r w:rsidRPr="00C93B1E">
              <w:rPr>
                <w:b/>
                <w:bCs/>
              </w:rPr>
              <w:t>approved</w:t>
            </w:r>
            <w:r>
              <w:t xml:space="preserve"> the revisions, subject to consideration of further inclusions by the ICFO.</w:t>
            </w:r>
          </w:p>
        </w:tc>
      </w:tr>
      <w:tr w:rsidR="002403AA" w:rsidRPr="005566E3" w14:paraId="321DF387"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6B57FF95" w14:textId="77777777" w:rsidR="002403AA" w:rsidRDefault="002403AA" w:rsidP="002403AA">
            <w:pPr>
              <w:spacing w:before="60"/>
              <w:ind w:left="-108" w:right="-102"/>
              <w:jc w:val="right"/>
            </w:pPr>
          </w:p>
        </w:tc>
        <w:tc>
          <w:tcPr>
            <w:tcW w:w="8788" w:type="dxa"/>
            <w:gridSpan w:val="5"/>
            <w:tcBorders>
              <w:top w:val="single" w:sz="4" w:space="0" w:color="auto"/>
              <w:bottom w:val="single" w:sz="4" w:space="0" w:color="auto"/>
            </w:tcBorders>
            <w:shd w:val="clear" w:color="auto" w:fill="auto"/>
          </w:tcPr>
          <w:p w14:paraId="29F4DF0E" w14:textId="64F3B1BD" w:rsidR="002403AA" w:rsidRPr="00C93B1E" w:rsidRDefault="002403AA" w:rsidP="002403AA">
            <w:pPr>
              <w:spacing w:before="60" w:after="60"/>
              <w:rPr>
                <w:b/>
                <w:bCs/>
              </w:rPr>
            </w:pPr>
            <w:r w:rsidRPr="00C93B1E">
              <w:rPr>
                <w:b/>
                <w:bCs/>
              </w:rPr>
              <w:t xml:space="preserve">Action: ICFO </w:t>
            </w:r>
          </w:p>
        </w:tc>
      </w:tr>
      <w:tr w:rsidR="002403AA" w:rsidRPr="005566E3" w14:paraId="604A7339"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D9D9D9" w:themeFill="background1" w:themeFillShade="D9"/>
          </w:tcPr>
          <w:p w14:paraId="0280ECCA" w14:textId="77777777" w:rsidR="002403AA" w:rsidRPr="005566E3" w:rsidRDefault="002403AA" w:rsidP="002403AA">
            <w:pPr>
              <w:ind w:left="-108" w:right="-102"/>
              <w:jc w:val="right"/>
              <w:rPr>
                <w:color w:val="621B40"/>
                <w:sz w:val="16"/>
                <w:szCs w:val="16"/>
              </w:rPr>
            </w:pPr>
            <w:bookmarkStart w:id="5" w:name="_Hlk60926860"/>
            <w:bookmarkEnd w:id="4"/>
            <w:r w:rsidRPr="005566E3">
              <w:rPr>
                <w:color w:val="621B40"/>
                <w:sz w:val="16"/>
                <w:szCs w:val="16"/>
              </w:rPr>
              <w:t>Agenda item</w:t>
            </w:r>
          </w:p>
          <w:p w14:paraId="2708B28A" w14:textId="77777777" w:rsidR="002403AA" w:rsidRPr="005566E3" w:rsidRDefault="002403AA" w:rsidP="002403AA">
            <w:pPr>
              <w:ind w:left="-108" w:right="-102"/>
              <w:jc w:val="right"/>
              <w:rPr>
                <w:color w:val="621B40"/>
                <w:sz w:val="16"/>
                <w:szCs w:val="16"/>
              </w:rPr>
            </w:pPr>
            <w:r w:rsidRPr="005566E3">
              <w:rPr>
                <w:color w:val="621B40"/>
                <w:sz w:val="16"/>
                <w:szCs w:val="16"/>
              </w:rPr>
              <w:t>Paper Ref</w:t>
            </w:r>
          </w:p>
        </w:tc>
        <w:tc>
          <w:tcPr>
            <w:tcW w:w="1278" w:type="dxa"/>
            <w:tcBorders>
              <w:top w:val="single" w:sz="4" w:space="0" w:color="auto"/>
              <w:bottom w:val="single" w:sz="4" w:space="0" w:color="auto"/>
            </w:tcBorders>
            <w:shd w:val="clear" w:color="auto" w:fill="D9D9D9" w:themeFill="background1" w:themeFillShade="D9"/>
          </w:tcPr>
          <w:p w14:paraId="13B6119C" w14:textId="0733259D" w:rsidR="002403AA" w:rsidRDefault="002403AA" w:rsidP="002403AA">
            <w:pPr>
              <w:rPr>
                <w:color w:val="621B40"/>
                <w:sz w:val="16"/>
                <w:szCs w:val="16"/>
              </w:rPr>
            </w:pPr>
            <w:r>
              <w:rPr>
                <w:color w:val="621B40"/>
                <w:sz w:val="16"/>
                <w:szCs w:val="16"/>
              </w:rPr>
              <w:t>13</w:t>
            </w:r>
          </w:p>
          <w:p w14:paraId="4ACE3E00" w14:textId="77777777" w:rsidR="002403AA" w:rsidRPr="005566E3" w:rsidRDefault="002403AA" w:rsidP="002403AA">
            <w:pPr>
              <w:rPr>
                <w:color w:val="621B40"/>
                <w:sz w:val="16"/>
                <w:szCs w:val="16"/>
              </w:rPr>
            </w:pPr>
          </w:p>
        </w:tc>
        <w:tc>
          <w:tcPr>
            <w:tcW w:w="5242" w:type="dxa"/>
            <w:gridSpan w:val="2"/>
            <w:tcBorders>
              <w:top w:val="single" w:sz="4" w:space="0" w:color="auto"/>
              <w:bottom w:val="single" w:sz="4" w:space="0" w:color="auto"/>
            </w:tcBorders>
            <w:shd w:val="clear" w:color="auto" w:fill="D9D9D9" w:themeFill="background1" w:themeFillShade="D9"/>
          </w:tcPr>
          <w:p w14:paraId="652D65E8" w14:textId="77777777" w:rsidR="002403AA" w:rsidRPr="005566E3" w:rsidRDefault="002403AA" w:rsidP="002403AA">
            <w:pPr>
              <w:rPr>
                <w:b/>
                <w:bCs/>
                <w:color w:val="621B40"/>
              </w:rPr>
            </w:pPr>
            <w:r>
              <w:rPr>
                <w:b/>
                <w:bCs/>
                <w:color w:val="621B40"/>
              </w:rPr>
              <w:t>People Plan</w:t>
            </w:r>
          </w:p>
        </w:tc>
        <w:tc>
          <w:tcPr>
            <w:tcW w:w="709" w:type="dxa"/>
            <w:tcBorders>
              <w:top w:val="single" w:sz="4" w:space="0" w:color="auto"/>
              <w:bottom w:val="single" w:sz="4" w:space="0" w:color="auto"/>
            </w:tcBorders>
            <w:shd w:val="clear" w:color="auto" w:fill="D9D9D9" w:themeFill="background1" w:themeFillShade="D9"/>
          </w:tcPr>
          <w:p w14:paraId="19AB624E" w14:textId="77777777" w:rsidR="002403AA" w:rsidRPr="005566E3" w:rsidRDefault="002403AA" w:rsidP="002403AA">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5EE708D3" w14:textId="5D67065D" w:rsidR="002403AA" w:rsidRPr="005566E3" w:rsidRDefault="002403AA" w:rsidP="002403AA">
            <w:pPr>
              <w:rPr>
                <w:color w:val="621B40"/>
              </w:rPr>
            </w:pPr>
            <w:r>
              <w:rPr>
                <w:color w:val="621B40"/>
              </w:rPr>
              <w:t>FEC/4/22/13</w:t>
            </w:r>
          </w:p>
        </w:tc>
      </w:tr>
      <w:bookmarkEnd w:id="5"/>
      <w:tr w:rsidR="002403AA" w:rsidRPr="005566E3" w14:paraId="689AE814"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2333331E" w14:textId="428AA4C3" w:rsidR="002403AA" w:rsidRPr="007D0C21" w:rsidRDefault="002403AA" w:rsidP="002403AA">
            <w:pPr>
              <w:spacing w:before="60" w:after="60"/>
              <w:ind w:left="-108" w:right="-102"/>
              <w:jc w:val="right"/>
            </w:pPr>
            <w:r>
              <w:t>13</w:t>
            </w:r>
            <w:r w:rsidRPr="007D0C21">
              <w:t>.1</w:t>
            </w:r>
          </w:p>
        </w:tc>
        <w:tc>
          <w:tcPr>
            <w:tcW w:w="8788" w:type="dxa"/>
            <w:gridSpan w:val="5"/>
            <w:tcBorders>
              <w:top w:val="single" w:sz="4" w:space="0" w:color="auto"/>
              <w:bottom w:val="single" w:sz="4" w:space="0" w:color="auto"/>
            </w:tcBorders>
            <w:shd w:val="clear" w:color="auto" w:fill="auto"/>
          </w:tcPr>
          <w:p w14:paraId="5DF9E7B5" w14:textId="573AEB43" w:rsidR="002403AA" w:rsidRPr="009E377D" w:rsidRDefault="002403AA" w:rsidP="002403AA">
            <w:pPr>
              <w:tabs>
                <w:tab w:val="left" w:pos="2060"/>
              </w:tabs>
              <w:spacing w:before="60" w:after="60"/>
            </w:pPr>
            <w:r w:rsidRPr="009E377D">
              <w:t>The Chief People Officer (CPO), PVC (Diversity and Inclusion) briefed the Committee on the following key areas:</w:t>
            </w:r>
          </w:p>
          <w:p w14:paraId="41B219F7" w14:textId="5802E176" w:rsidR="002403AA" w:rsidRPr="00643158" w:rsidRDefault="002403AA" w:rsidP="002403AA">
            <w:pPr>
              <w:tabs>
                <w:tab w:val="left" w:pos="2060"/>
              </w:tabs>
              <w:spacing w:before="60" w:after="60"/>
            </w:pPr>
            <w:r w:rsidRPr="00A26CAE">
              <w:rPr>
                <w:b/>
                <w:bCs/>
              </w:rPr>
              <w:t>UCU industrial action</w:t>
            </w:r>
            <w:r>
              <w:t xml:space="preserve">  - noted the mandate for strike and action short of a strike until October 7 which was likely impact on the new students’ arrival in September. It was reported that UCU would be issuing a further ballot which could impact on induction and graduation towards the end of Semester 1.The Committee noted that only 41 universities had been subject to the UCU marking and assessment boycott and a growing number were entering into local agreements to resolve disputes. Members noted that the University was liaising with UCU with a view to reaching resolution on the 2021/22 pay round. </w:t>
            </w:r>
          </w:p>
        </w:tc>
      </w:tr>
      <w:tr w:rsidR="002403AA" w:rsidRPr="005566E3" w14:paraId="67502C10"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19C62ED2" w14:textId="3090F5C9" w:rsidR="002403AA" w:rsidRDefault="002403AA" w:rsidP="002403AA">
            <w:pPr>
              <w:spacing w:before="60" w:after="60"/>
              <w:ind w:left="-108" w:right="-102"/>
              <w:jc w:val="right"/>
            </w:pPr>
            <w:r>
              <w:t>13.2</w:t>
            </w:r>
          </w:p>
        </w:tc>
        <w:tc>
          <w:tcPr>
            <w:tcW w:w="8788" w:type="dxa"/>
            <w:gridSpan w:val="5"/>
            <w:tcBorders>
              <w:top w:val="single" w:sz="4" w:space="0" w:color="auto"/>
              <w:bottom w:val="single" w:sz="4" w:space="0" w:color="auto"/>
            </w:tcBorders>
            <w:shd w:val="clear" w:color="auto" w:fill="auto"/>
          </w:tcPr>
          <w:p w14:paraId="31945CA1" w14:textId="29AC5954" w:rsidR="002403AA" w:rsidRDefault="002403AA" w:rsidP="002403AA">
            <w:pPr>
              <w:tabs>
                <w:tab w:val="left" w:pos="2060"/>
              </w:tabs>
              <w:spacing w:before="60" w:after="60"/>
            </w:pPr>
            <w:r w:rsidRPr="003345D9">
              <w:t>The key findings of the latest</w:t>
            </w:r>
            <w:r>
              <w:rPr>
                <w:b/>
                <w:bCs/>
              </w:rPr>
              <w:t xml:space="preserve"> </w:t>
            </w:r>
            <w:r w:rsidRPr="00792F91">
              <w:rPr>
                <w:b/>
                <w:bCs/>
              </w:rPr>
              <w:t>Staff Survey</w:t>
            </w:r>
            <w:r>
              <w:t xml:space="preserve"> </w:t>
            </w:r>
            <w:r w:rsidRPr="001B4756">
              <w:rPr>
                <w:b/>
                <w:bCs/>
              </w:rPr>
              <w:t>16-26 May</w:t>
            </w:r>
            <w:r>
              <w:t>, the full detail of which would be shared with the Committee in September 2022:</w:t>
            </w:r>
          </w:p>
          <w:p w14:paraId="5757B79E" w14:textId="0A3462AE" w:rsidR="002403AA" w:rsidRDefault="002403AA" w:rsidP="002403AA">
            <w:pPr>
              <w:pStyle w:val="ListParagraph"/>
              <w:numPr>
                <w:ilvl w:val="0"/>
                <w:numId w:val="19"/>
              </w:numPr>
              <w:tabs>
                <w:tab w:val="left" w:pos="2060"/>
              </w:tabs>
              <w:spacing w:before="60" w:after="60"/>
            </w:pPr>
            <w:r>
              <w:t>a response rate of 54%;</w:t>
            </w:r>
          </w:p>
          <w:p w14:paraId="6CE43872" w14:textId="291E19EA" w:rsidR="002403AA" w:rsidRDefault="002403AA" w:rsidP="002403AA">
            <w:pPr>
              <w:pStyle w:val="ListParagraph"/>
              <w:numPr>
                <w:ilvl w:val="0"/>
                <w:numId w:val="19"/>
              </w:numPr>
              <w:tabs>
                <w:tab w:val="left" w:pos="2060"/>
              </w:tabs>
              <w:spacing w:before="60" w:after="60"/>
            </w:pPr>
            <w:r>
              <w:t xml:space="preserve">the three highest scoring questions (related to wellbeing support from Line Managers and team members) </w:t>
            </w:r>
          </w:p>
          <w:p w14:paraId="117616BD" w14:textId="37F1D7EA" w:rsidR="002403AA" w:rsidRDefault="002403AA" w:rsidP="002403AA">
            <w:pPr>
              <w:pStyle w:val="ListParagraph"/>
              <w:numPr>
                <w:ilvl w:val="0"/>
                <w:numId w:val="19"/>
              </w:numPr>
              <w:tabs>
                <w:tab w:val="left" w:pos="2060"/>
              </w:tabs>
              <w:spacing w:before="60" w:after="60"/>
            </w:pPr>
            <w:r>
              <w:t>the three lowest scoring questions (referencing teamwork and collaboration across the University, its future direction and the importance of employee wellbeing)</w:t>
            </w:r>
          </w:p>
          <w:p w14:paraId="440299DA" w14:textId="067FB890" w:rsidR="002403AA" w:rsidRDefault="002403AA" w:rsidP="002403AA">
            <w:pPr>
              <w:pStyle w:val="ListParagraph"/>
              <w:numPr>
                <w:ilvl w:val="0"/>
                <w:numId w:val="19"/>
              </w:numPr>
              <w:tabs>
                <w:tab w:val="left" w:pos="2060"/>
              </w:tabs>
              <w:spacing w:before="60" w:after="60"/>
            </w:pPr>
            <w:r>
              <w:t>the general trend for academic staff to give lower scores; and</w:t>
            </w:r>
          </w:p>
          <w:p w14:paraId="2F29169B" w14:textId="77777777" w:rsidR="002403AA" w:rsidRDefault="002403AA" w:rsidP="002403AA">
            <w:pPr>
              <w:pStyle w:val="ListParagraph"/>
              <w:numPr>
                <w:ilvl w:val="0"/>
                <w:numId w:val="19"/>
              </w:numPr>
              <w:tabs>
                <w:tab w:val="left" w:pos="2060"/>
              </w:tabs>
              <w:spacing w:before="60" w:after="60"/>
            </w:pPr>
            <w:r>
              <w:t xml:space="preserve">ongoing analysis of the 6000+ comments made analysis on free comments ongoing, noting the significant increase in free text comments over time.  </w:t>
            </w:r>
          </w:p>
          <w:p w14:paraId="62FEE2D0" w14:textId="2B705304" w:rsidR="002403AA" w:rsidRPr="00605B63" w:rsidRDefault="002403AA" w:rsidP="002403AA">
            <w:pPr>
              <w:tabs>
                <w:tab w:val="left" w:pos="2060"/>
              </w:tabs>
              <w:spacing w:before="60" w:after="60"/>
            </w:pPr>
            <w:r>
              <w:t xml:space="preserve">In response to a member’s question on how feedback, particularly on negative comments, would be provided to Colleges, it was reported that an overarching response would be issued via ‘We Are Hallam’ and future Transforming Lives sessions but that HR Business Partners would visit Directorates/academic departments to help with localised planning where needed. </w:t>
            </w:r>
          </w:p>
        </w:tc>
      </w:tr>
      <w:tr w:rsidR="002403AA" w:rsidRPr="005566E3" w14:paraId="0D785ADB"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22DD296F" w14:textId="22A5A978" w:rsidR="002403AA" w:rsidRDefault="002403AA" w:rsidP="002403AA">
            <w:pPr>
              <w:spacing w:before="60" w:after="60"/>
              <w:ind w:left="-108" w:right="-102"/>
              <w:jc w:val="right"/>
            </w:pPr>
            <w:r>
              <w:lastRenderedPageBreak/>
              <w:t>13.3</w:t>
            </w:r>
          </w:p>
        </w:tc>
        <w:tc>
          <w:tcPr>
            <w:tcW w:w="8788" w:type="dxa"/>
            <w:gridSpan w:val="5"/>
            <w:tcBorders>
              <w:top w:val="single" w:sz="4" w:space="0" w:color="auto"/>
              <w:bottom w:val="single" w:sz="4" w:space="0" w:color="auto"/>
            </w:tcBorders>
            <w:shd w:val="clear" w:color="auto" w:fill="auto"/>
          </w:tcPr>
          <w:p w14:paraId="198B3B8D" w14:textId="01905239" w:rsidR="002403AA" w:rsidRPr="00295C87" w:rsidRDefault="002403AA" w:rsidP="002403AA">
            <w:pPr>
              <w:tabs>
                <w:tab w:val="left" w:pos="2206"/>
              </w:tabs>
              <w:spacing w:before="60" w:after="60"/>
            </w:pPr>
            <w:r>
              <w:rPr>
                <w:b/>
                <w:bCs/>
              </w:rPr>
              <w:t xml:space="preserve">Senior Leadership Development Programme </w:t>
            </w:r>
            <w:r>
              <w:t>– noted that the first cohort launched on 25 with a fairly even split between academic and professional services staff and that feedback and lessons learned were being collated ahead of the next cohort. In addition, a number of specific sessions for 50 Senior Staff Group (SSG) colleagues had been jointly delivered by HROD and Eversheds.</w:t>
            </w:r>
          </w:p>
        </w:tc>
      </w:tr>
      <w:tr w:rsidR="002403AA" w:rsidRPr="005566E3" w14:paraId="5CE08F29"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4BA318ED" w14:textId="7532BDB5" w:rsidR="002403AA" w:rsidRDefault="002403AA" w:rsidP="002403AA">
            <w:pPr>
              <w:spacing w:before="60" w:after="60"/>
              <w:ind w:left="-108" w:right="-102"/>
              <w:jc w:val="right"/>
            </w:pPr>
            <w:r>
              <w:t>13.4</w:t>
            </w:r>
          </w:p>
        </w:tc>
        <w:tc>
          <w:tcPr>
            <w:tcW w:w="8788" w:type="dxa"/>
            <w:gridSpan w:val="5"/>
            <w:tcBorders>
              <w:top w:val="single" w:sz="4" w:space="0" w:color="auto"/>
              <w:bottom w:val="single" w:sz="4" w:space="0" w:color="auto"/>
            </w:tcBorders>
            <w:shd w:val="clear" w:color="auto" w:fill="auto"/>
          </w:tcPr>
          <w:p w14:paraId="4B0012DD" w14:textId="5EA55584" w:rsidR="002403AA" w:rsidRPr="0035629C" w:rsidRDefault="002403AA" w:rsidP="002403AA">
            <w:pPr>
              <w:tabs>
                <w:tab w:val="left" w:pos="2206"/>
              </w:tabs>
              <w:spacing w:before="60" w:after="60"/>
            </w:pPr>
            <w:r>
              <w:rPr>
                <w:b/>
                <w:bCs/>
              </w:rPr>
              <w:t xml:space="preserve">Leadership and Management Essentials </w:t>
            </w:r>
            <w:r>
              <w:t>–</w:t>
            </w:r>
            <w:r w:rsidRPr="0035629C">
              <w:t xml:space="preserve"> </w:t>
            </w:r>
            <w:r>
              <w:t xml:space="preserve">noted the programme was </w:t>
            </w:r>
            <w:r w:rsidRPr="0035629C">
              <w:t>predominantly</w:t>
            </w:r>
            <w:r>
              <w:t xml:space="preserve"> aimed at</w:t>
            </w:r>
            <w:r w:rsidRPr="0035629C">
              <w:t xml:space="preserve"> grade</w:t>
            </w:r>
            <w:r>
              <w:t>s</w:t>
            </w:r>
            <w:r w:rsidRPr="0035629C">
              <w:t xml:space="preserve"> 6</w:t>
            </w:r>
            <w:r>
              <w:t xml:space="preserve"> - </w:t>
            </w:r>
            <w:r w:rsidRPr="0035629C">
              <w:t>8</w:t>
            </w:r>
            <w:r>
              <w:t xml:space="preserve"> and covered a set of University standards/expectations. Initial feedback had been positive and a structured evaluation would be undertaken in the autumn.</w:t>
            </w:r>
          </w:p>
        </w:tc>
      </w:tr>
      <w:tr w:rsidR="002403AA" w:rsidRPr="008D470E" w14:paraId="4FDAC926"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D9D9D9" w:themeFill="background1" w:themeFillShade="D9"/>
          </w:tcPr>
          <w:p w14:paraId="0D6327A9" w14:textId="77777777" w:rsidR="002403AA" w:rsidRPr="005566E3" w:rsidRDefault="002403AA" w:rsidP="002403AA">
            <w:pPr>
              <w:ind w:left="-108" w:right="-102"/>
              <w:jc w:val="right"/>
              <w:rPr>
                <w:color w:val="621B40"/>
                <w:sz w:val="16"/>
                <w:szCs w:val="16"/>
              </w:rPr>
            </w:pPr>
            <w:r w:rsidRPr="005566E3">
              <w:rPr>
                <w:color w:val="621B40"/>
                <w:sz w:val="16"/>
                <w:szCs w:val="16"/>
              </w:rPr>
              <w:t>Agenda item</w:t>
            </w:r>
          </w:p>
          <w:p w14:paraId="2FF53042" w14:textId="77777777" w:rsidR="002403AA" w:rsidRPr="005566E3" w:rsidRDefault="002403AA" w:rsidP="002403AA">
            <w:pPr>
              <w:ind w:left="-108" w:right="-102"/>
              <w:jc w:val="right"/>
              <w:rPr>
                <w:color w:val="621B40"/>
                <w:sz w:val="16"/>
                <w:szCs w:val="16"/>
              </w:rPr>
            </w:pPr>
            <w:r w:rsidRPr="005566E3">
              <w:rPr>
                <w:color w:val="621B40"/>
                <w:sz w:val="16"/>
                <w:szCs w:val="16"/>
              </w:rPr>
              <w:t>Paper Ref</w:t>
            </w:r>
          </w:p>
        </w:tc>
        <w:tc>
          <w:tcPr>
            <w:tcW w:w="1278" w:type="dxa"/>
            <w:tcBorders>
              <w:top w:val="single" w:sz="4" w:space="0" w:color="auto"/>
              <w:bottom w:val="single" w:sz="4" w:space="0" w:color="auto"/>
            </w:tcBorders>
            <w:shd w:val="clear" w:color="auto" w:fill="D9D9D9" w:themeFill="background1" w:themeFillShade="D9"/>
          </w:tcPr>
          <w:p w14:paraId="6C490E79" w14:textId="21EA45B0" w:rsidR="002403AA" w:rsidRDefault="002403AA" w:rsidP="002403AA">
            <w:pPr>
              <w:rPr>
                <w:color w:val="621B40"/>
                <w:sz w:val="16"/>
                <w:szCs w:val="16"/>
              </w:rPr>
            </w:pPr>
            <w:r>
              <w:rPr>
                <w:color w:val="621B40"/>
                <w:sz w:val="16"/>
                <w:szCs w:val="16"/>
              </w:rPr>
              <w:t>14</w:t>
            </w:r>
          </w:p>
          <w:p w14:paraId="49BD3AB5" w14:textId="7828CCB7" w:rsidR="002403AA" w:rsidRDefault="002403AA" w:rsidP="002403AA">
            <w:pPr>
              <w:rPr>
                <w:color w:val="621B40"/>
                <w:sz w:val="16"/>
                <w:szCs w:val="16"/>
              </w:rPr>
            </w:pPr>
            <w:r>
              <w:rPr>
                <w:color w:val="621B40"/>
                <w:sz w:val="16"/>
                <w:szCs w:val="16"/>
              </w:rPr>
              <w:t>FEC/4/22</w:t>
            </w:r>
            <w:r w:rsidRPr="00F34AF9">
              <w:rPr>
                <w:color w:val="621B40"/>
                <w:sz w:val="16"/>
                <w:szCs w:val="16"/>
              </w:rPr>
              <w:t>/</w:t>
            </w:r>
            <w:r>
              <w:rPr>
                <w:color w:val="621B40"/>
                <w:sz w:val="16"/>
                <w:szCs w:val="16"/>
              </w:rPr>
              <w:t>14</w:t>
            </w:r>
          </w:p>
          <w:p w14:paraId="7B820A3E" w14:textId="77777777" w:rsidR="002403AA" w:rsidRDefault="002403AA" w:rsidP="002403AA">
            <w:pPr>
              <w:rPr>
                <w:color w:val="621B40"/>
                <w:sz w:val="16"/>
                <w:szCs w:val="16"/>
              </w:rPr>
            </w:pPr>
            <w:r>
              <w:rPr>
                <w:color w:val="621B40"/>
                <w:sz w:val="16"/>
                <w:szCs w:val="16"/>
              </w:rPr>
              <w:t>Confidential</w:t>
            </w:r>
          </w:p>
        </w:tc>
        <w:tc>
          <w:tcPr>
            <w:tcW w:w="5242" w:type="dxa"/>
            <w:gridSpan w:val="2"/>
            <w:tcBorders>
              <w:top w:val="single" w:sz="4" w:space="0" w:color="auto"/>
              <w:bottom w:val="single" w:sz="4" w:space="0" w:color="auto"/>
            </w:tcBorders>
            <w:shd w:val="clear" w:color="auto" w:fill="D9D9D9" w:themeFill="background1" w:themeFillShade="D9"/>
          </w:tcPr>
          <w:p w14:paraId="46CFDA38" w14:textId="4A61D7DA" w:rsidR="002403AA" w:rsidRDefault="002403AA" w:rsidP="002403AA">
            <w:pPr>
              <w:rPr>
                <w:b/>
                <w:bCs/>
                <w:color w:val="621B40"/>
              </w:rPr>
            </w:pPr>
            <w:r>
              <w:rPr>
                <w:b/>
                <w:bCs/>
                <w:color w:val="621B40"/>
              </w:rPr>
              <w:t xml:space="preserve">Pay Gap Benchmarking </w:t>
            </w:r>
          </w:p>
        </w:tc>
        <w:tc>
          <w:tcPr>
            <w:tcW w:w="709" w:type="dxa"/>
            <w:tcBorders>
              <w:top w:val="single" w:sz="4" w:space="0" w:color="auto"/>
              <w:bottom w:val="single" w:sz="4" w:space="0" w:color="auto"/>
            </w:tcBorders>
            <w:shd w:val="clear" w:color="auto" w:fill="D9D9D9" w:themeFill="background1" w:themeFillShade="D9"/>
          </w:tcPr>
          <w:p w14:paraId="2EF36D30" w14:textId="77777777" w:rsidR="002403AA" w:rsidRPr="005566E3" w:rsidRDefault="002403AA" w:rsidP="002403AA">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4BB091EB" w14:textId="58718C1D" w:rsidR="002403AA" w:rsidRPr="008D470E" w:rsidRDefault="002403AA" w:rsidP="002403AA">
            <w:pPr>
              <w:rPr>
                <w:color w:val="621B40"/>
              </w:rPr>
            </w:pPr>
            <w:r>
              <w:rPr>
                <w:color w:val="621B40"/>
              </w:rPr>
              <w:t>FEC/4/22/14</w:t>
            </w:r>
          </w:p>
        </w:tc>
      </w:tr>
      <w:tr w:rsidR="002403AA" w:rsidRPr="005566E3" w14:paraId="7A14E041"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17639C69" w14:textId="05AB7C1A" w:rsidR="002403AA" w:rsidRPr="007D0C21" w:rsidRDefault="002403AA" w:rsidP="002403AA">
            <w:pPr>
              <w:spacing w:before="60"/>
              <w:ind w:left="-108" w:right="-102"/>
              <w:jc w:val="right"/>
            </w:pPr>
            <w:r>
              <w:t>14.1</w:t>
            </w:r>
          </w:p>
        </w:tc>
        <w:tc>
          <w:tcPr>
            <w:tcW w:w="8788" w:type="dxa"/>
            <w:gridSpan w:val="5"/>
            <w:tcBorders>
              <w:top w:val="single" w:sz="4" w:space="0" w:color="auto"/>
              <w:bottom w:val="single" w:sz="4" w:space="0" w:color="auto"/>
            </w:tcBorders>
            <w:shd w:val="clear" w:color="auto" w:fill="auto"/>
          </w:tcPr>
          <w:p w14:paraId="6374274F" w14:textId="2009C6B9" w:rsidR="002403AA" w:rsidRPr="007D0C21" w:rsidRDefault="002403AA" w:rsidP="002403AA">
            <w:pPr>
              <w:spacing w:before="60" w:after="60"/>
            </w:pPr>
            <w:r>
              <w:t xml:space="preserve">Members considered sector benchmarking </w:t>
            </w:r>
            <w:r w:rsidRPr="00C30519">
              <w:t xml:space="preserve">data on </w:t>
            </w:r>
            <w:r>
              <w:t xml:space="preserve"> the gender </w:t>
            </w:r>
            <w:r w:rsidRPr="00C30519">
              <w:t xml:space="preserve">pay gap as requested by the </w:t>
            </w:r>
            <w:r>
              <w:t>BofG</w:t>
            </w:r>
            <w:r w:rsidRPr="00C30519">
              <w:t>.</w:t>
            </w:r>
            <w:r>
              <w:t xml:space="preserve"> Whilst pay gap reporting at SHU extended beyond the mandatory gender category,  only the only available benchmarking data was by gender. The Committee noted that the University’s mean gender pay gap was lower than sector average but because the University employed a </w:t>
            </w:r>
            <w:r w:rsidRPr="00E7477C">
              <w:t xml:space="preserve">higher proportion of females in both the higher and lower quartiles, the median was higher than sector average. The bonus gap was also higher when compared with the rest of the sector. </w:t>
            </w:r>
            <w:r w:rsidR="00CD5A6E" w:rsidRPr="00E7477C">
              <w:t xml:space="preserve"> However, it was noted that very few staff are included in this calculation and therefore it is not an indicator of systemic issues that can be addressed by the University.  </w:t>
            </w:r>
            <w:r w:rsidRPr="00E7477C">
              <w:t xml:space="preserve">The significant variation across the sector was noted which could, in part, be due to the outsourcing of services such as cleaning and catering.  The Committee commended the approach taken by HROD to contact a number of other universities a lower pay gap and </w:t>
            </w:r>
            <w:r>
              <w:t>a report on this would be shared with FEC at its September meeting in addition to sharing with the Gender equality Steering Group, the Athena Swann Assessment Group and the EDI Committee.</w:t>
            </w:r>
          </w:p>
        </w:tc>
      </w:tr>
      <w:tr w:rsidR="002403AA" w:rsidRPr="005566E3" w14:paraId="4552BEC8" w14:textId="77777777" w:rsidTr="00130AB7">
        <w:tblPrEx>
          <w:tblBorders>
            <w:top w:val="single" w:sz="4" w:space="0" w:color="auto"/>
            <w:bottom w:val="single" w:sz="4" w:space="0" w:color="auto"/>
          </w:tblBorders>
        </w:tblPrEx>
        <w:trPr>
          <w:trHeight w:val="572"/>
        </w:trPr>
        <w:tc>
          <w:tcPr>
            <w:tcW w:w="851" w:type="dxa"/>
            <w:tcBorders>
              <w:top w:val="single" w:sz="4" w:space="0" w:color="auto"/>
              <w:bottom w:val="single" w:sz="4" w:space="0" w:color="auto"/>
            </w:tcBorders>
            <w:shd w:val="clear" w:color="auto" w:fill="D9D9D9" w:themeFill="background1" w:themeFillShade="D9"/>
          </w:tcPr>
          <w:p w14:paraId="5D1B3370" w14:textId="77777777" w:rsidR="002403AA" w:rsidRPr="005566E3" w:rsidRDefault="002403AA" w:rsidP="002403AA">
            <w:pPr>
              <w:ind w:left="-108" w:right="-102"/>
              <w:jc w:val="right"/>
              <w:rPr>
                <w:color w:val="621B40"/>
                <w:sz w:val="16"/>
                <w:szCs w:val="16"/>
              </w:rPr>
            </w:pPr>
            <w:bookmarkStart w:id="6" w:name="_Hlk63599093"/>
            <w:r w:rsidRPr="005566E3">
              <w:rPr>
                <w:color w:val="621B40"/>
                <w:sz w:val="16"/>
                <w:szCs w:val="16"/>
              </w:rPr>
              <w:t>Agenda item</w:t>
            </w:r>
          </w:p>
          <w:p w14:paraId="7791374F" w14:textId="77777777" w:rsidR="002403AA" w:rsidRPr="005566E3" w:rsidRDefault="002403AA" w:rsidP="002403AA">
            <w:pPr>
              <w:ind w:left="-108" w:right="-102"/>
              <w:jc w:val="right"/>
              <w:rPr>
                <w:color w:val="621B40"/>
                <w:sz w:val="16"/>
                <w:szCs w:val="16"/>
              </w:rPr>
            </w:pPr>
            <w:r w:rsidRPr="005566E3">
              <w:rPr>
                <w:color w:val="621B40"/>
                <w:sz w:val="16"/>
                <w:szCs w:val="16"/>
              </w:rPr>
              <w:t>Paper Ref</w:t>
            </w:r>
          </w:p>
        </w:tc>
        <w:tc>
          <w:tcPr>
            <w:tcW w:w="1278" w:type="dxa"/>
            <w:tcBorders>
              <w:top w:val="single" w:sz="4" w:space="0" w:color="auto"/>
              <w:bottom w:val="single" w:sz="4" w:space="0" w:color="auto"/>
            </w:tcBorders>
            <w:shd w:val="clear" w:color="auto" w:fill="D9D9D9" w:themeFill="background1" w:themeFillShade="D9"/>
          </w:tcPr>
          <w:p w14:paraId="1903D9EC" w14:textId="6A57746C" w:rsidR="002403AA" w:rsidRDefault="002403AA" w:rsidP="002403AA">
            <w:pPr>
              <w:rPr>
                <w:color w:val="621B40"/>
                <w:sz w:val="16"/>
                <w:szCs w:val="16"/>
              </w:rPr>
            </w:pPr>
            <w:r>
              <w:rPr>
                <w:color w:val="621B40"/>
                <w:sz w:val="16"/>
                <w:szCs w:val="16"/>
              </w:rPr>
              <w:t>15.1</w:t>
            </w:r>
          </w:p>
          <w:p w14:paraId="0198E84B" w14:textId="6DF97469" w:rsidR="002403AA" w:rsidRDefault="002403AA" w:rsidP="002403AA">
            <w:pPr>
              <w:rPr>
                <w:color w:val="621B40"/>
                <w:sz w:val="16"/>
                <w:szCs w:val="16"/>
              </w:rPr>
            </w:pPr>
            <w:r>
              <w:rPr>
                <w:color w:val="621B40"/>
                <w:sz w:val="16"/>
                <w:szCs w:val="16"/>
              </w:rPr>
              <w:t>FEC/4/22</w:t>
            </w:r>
            <w:r w:rsidRPr="003C63E3">
              <w:rPr>
                <w:color w:val="621B40"/>
                <w:sz w:val="16"/>
                <w:szCs w:val="16"/>
              </w:rPr>
              <w:t>/</w:t>
            </w:r>
            <w:r>
              <w:rPr>
                <w:color w:val="621B40"/>
                <w:sz w:val="16"/>
                <w:szCs w:val="16"/>
              </w:rPr>
              <w:t>15.1</w:t>
            </w:r>
          </w:p>
        </w:tc>
        <w:tc>
          <w:tcPr>
            <w:tcW w:w="5242" w:type="dxa"/>
            <w:gridSpan w:val="2"/>
            <w:tcBorders>
              <w:top w:val="single" w:sz="4" w:space="0" w:color="auto"/>
              <w:bottom w:val="single" w:sz="4" w:space="0" w:color="auto"/>
            </w:tcBorders>
            <w:shd w:val="clear" w:color="auto" w:fill="D9D9D9" w:themeFill="background1" w:themeFillShade="D9"/>
          </w:tcPr>
          <w:p w14:paraId="3A19422D" w14:textId="1D848C46" w:rsidR="002403AA" w:rsidRPr="00E764D2" w:rsidRDefault="002403AA" w:rsidP="002403AA">
            <w:pPr>
              <w:rPr>
                <w:b/>
                <w:bCs/>
                <w:color w:val="621B40"/>
              </w:rPr>
            </w:pPr>
            <w:r>
              <w:rPr>
                <w:b/>
                <w:bCs/>
                <w:color w:val="621B40"/>
              </w:rPr>
              <w:t>Investments Summary</w:t>
            </w:r>
          </w:p>
        </w:tc>
        <w:tc>
          <w:tcPr>
            <w:tcW w:w="709" w:type="dxa"/>
            <w:tcBorders>
              <w:top w:val="single" w:sz="4" w:space="0" w:color="auto"/>
              <w:bottom w:val="single" w:sz="4" w:space="0" w:color="auto"/>
            </w:tcBorders>
            <w:shd w:val="clear" w:color="auto" w:fill="D9D9D9" w:themeFill="background1" w:themeFillShade="D9"/>
          </w:tcPr>
          <w:p w14:paraId="760C9D0C" w14:textId="77777777" w:rsidR="002403AA" w:rsidRPr="005566E3" w:rsidRDefault="002403AA" w:rsidP="002403AA">
            <w:pPr>
              <w:ind w:right="-96"/>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5CF1DA5B" w14:textId="3B2EBDAC" w:rsidR="002403AA" w:rsidRPr="008D470E" w:rsidRDefault="002403AA" w:rsidP="002403AA">
            <w:pPr>
              <w:rPr>
                <w:color w:val="621B40"/>
              </w:rPr>
            </w:pPr>
            <w:r>
              <w:rPr>
                <w:color w:val="621B40"/>
              </w:rPr>
              <w:t>FEC/4/22/15</w:t>
            </w:r>
          </w:p>
        </w:tc>
      </w:tr>
      <w:tr w:rsidR="002403AA" w:rsidRPr="005566E3" w14:paraId="7432C113"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126DE3D0" w14:textId="48AD5F99" w:rsidR="002403AA" w:rsidRPr="007D0C21" w:rsidRDefault="002403AA" w:rsidP="002403AA">
            <w:pPr>
              <w:spacing w:before="60" w:after="60"/>
              <w:ind w:left="-108" w:right="-105"/>
              <w:jc w:val="right"/>
            </w:pPr>
            <w:r>
              <w:t>15.1</w:t>
            </w:r>
          </w:p>
        </w:tc>
        <w:tc>
          <w:tcPr>
            <w:tcW w:w="8788" w:type="dxa"/>
            <w:gridSpan w:val="5"/>
            <w:tcBorders>
              <w:top w:val="single" w:sz="4" w:space="0" w:color="auto"/>
              <w:bottom w:val="single" w:sz="4" w:space="0" w:color="auto"/>
            </w:tcBorders>
            <w:shd w:val="clear" w:color="auto" w:fill="auto"/>
          </w:tcPr>
          <w:p w14:paraId="1CC95E48" w14:textId="250CB2AD" w:rsidR="002403AA" w:rsidRPr="007D0C21" w:rsidRDefault="002403AA" w:rsidP="002403AA">
            <w:pPr>
              <w:spacing w:before="60" w:after="60"/>
            </w:pPr>
            <w:r>
              <w:t xml:space="preserve">FEC noted the cash investment summary </w:t>
            </w:r>
            <w:r w:rsidRPr="009D30E3">
              <w:t xml:space="preserve">as </w:t>
            </w:r>
            <w:r w:rsidRPr="006D4198">
              <w:t>at 31</w:t>
            </w:r>
            <w:r>
              <w:t xml:space="preserve"> May 2022.</w:t>
            </w:r>
          </w:p>
        </w:tc>
      </w:tr>
      <w:bookmarkEnd w:id="6"/>
      <w:tr w:rsidR="002403AA" w:rsidRPr="005566E3" w14:paraId="6850B510"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D9D9D9" w:themeFill="background1" w:themeFillShade="D9"/>
          </w:tcPr>
          <w:p w14:paraId="4F6780A8" w14:textId="77777777" w:rsidR="002403AA" w:rsidRDefault="002403AA" w:rsidP="002403AA">
            <w:pPr>
              <w:ind w:left="-108" w:right="-102"/>
              <w:jc w:val="right"/>
              <w:rPr>
                <w:color w:val="621B40"/>
                <w:sz w:val="16"/>
                <w:szCs w:val="16"/>
              </w:rPr>
            </w:pPr>
            <w:r>
              <w:rPr>
                <w:color w:val="621B40"/>
                <w:sz w:val="16"/>
                <w:szCs w:val="16"/>
              </w:rPr>
              <w:t>Agenda Item</w:t>
            </w:r>
          </w:p>
          <w:p w14:paraId="50BF94CE" w14:textId="77777777" w:rsidR="002403AA" w:rsidRPr="005566E3" w:rsidRDefault="002403AA" w:rsidP="002403AA">
            <w:pPr>
              <w:rPr>
                <w:color w:val="621B40"/>
                <w:sz w:val="16"/>
                <w:szCs w:val="16"/>
              </w:rPr>
            </w:pPr>
            <w:r>
              <w:rPr>
                <w:color w:val="621B40"/>
                <w:sz w:val="16"/>
                <w:szCs w:val="16"/>
              </w:rPr>
              <w:t>Paper Ref</w:t>
            </w:r>
          </w:p>
          <w:p w14:paraId="60BC92A1" w14:textId="77777777" w:rsidR="002403AA" w:rsidRPr="005566E3" w:rsidRDefault="002403AA" w:rsidP="002403AA">
            <w:pPr>
              <w:ind w:left="-108" w:right="-102"/>
              <w:jc w:val="right"/>
              <w:rPr>
                <w:color w:val="621B40"/>
                <w:sz w:val="16"/>
                <w:szCs w:val="16"/>
              </w:rPr>
            </w:pPr>
          </w:p>
        </w:tc>
        <w:tc>
          <w:tcPr>
            <w:tcW w:w="1278" w:type="dxa"/>
            <w:tcBorders>
              <w:top w:val="single" w:sz="4" w:space="0" w:color="auto"/>
              <w:bottom w:val="single" w:sz="4" w:space="0" w:color="auto"/>
            </w:tcBorders>
            <w:shd w:val="clear" w:color="auto" w:fill="D9D9D9" w:themeFill="background1" w:themeFillShade="D9"/>
          </w:tcPr>
          <w:p w14:paraId="594D17F5" w14:textId="139FF9F9" w:rsidR="002403AA" w:rsidRDefault="002403AA" w:rsidP="002403AA">
            <w:pPr>
              <w:rPr>
                <w:color w:val="621B40"/>
                <w:sz w:val="16"/>
                <w:szCs w:val="16"/>
              </w:rPr>
            </w:pPr>
            <w:r>
              <w:rPr>
                <w:color w:val="621B40"/>
                <w:sz w:val="16"/>
                <w:szCs w:val="16"/>
              </w:rPr>
              <w:t>15.2</w:t>
            </w:r>
          </w:p>
          <w:p w14:paraId="0E885BAC" w14:textId="6EF45761" w:rsidR="002403AA" w:rsidRDefault="002403AA" w:rsidP="002403AA">
            <w:pPr>
              <w:rPr>
                <w:color w:val="621B40"/>
                <w:sz w:val="16"/>
                <w:szCs w:val="16"/>
              </w:rPr>
            </w:pPr>
            <w:r>
              <w:rPr>
                <w:color w:val="621B40"/>
                <w:sz w:val="16"/>
                <w:szCs w:val="16"/>
              </w:rPr>
              <w:t>FEC/4/22</w:t>
            </w:r>
            <w:r w:rsidRPr="00EA3C62">
              <w:rPr>
                <w:color w:val="621B40"/>
                <w:sz w:val="16"/>
                <w:szCs w:val="16"/>
              </w:rPr>
              <w:t>/</w:t>
            </w:r>
            <w:r>
              <w:rPr>
                <w:color w:val="621B40"/>
                <w:sz w:val="16"/>
                <w:szCs w:val="16"/>
              </w:rPr>
              <w:t>15.2</w:t>
            </w:r>
          </w:p>
          <w:p w14:paraId="20319E64" w14:textId="77777777" w:rsidR="002403AA" w:rsidRDefault="002403AA" w:rsidP="002403AA">
            <w:pPr>
              <w:rPr>
                <w:color w:val="621B40"/>
                <w:sz w:val="16"/>
                <w:szCs w:val="16"/>
              </w:rPr>
            </w:pPr>
            <w:r>
              <w:rPr>
                <w:color w:val="621B40"/>
                <w:sz w:val="16"/>
                <w:szCs w:val="16"/>
              </w:rPr>
              <w:t>Confidential</w:t>
            </w:r>
          </w:p>
        </w:tc>
        <w:tc>
          <w:tcPr>
            <w:tcW w:w="5242" w:type="dxa"/>
            <w:gridSpan w:val="2"/>
            <w:tcBorders>
              <w:top w:val="single" w:sz="4" w:space="0" w:color="auto"/>
              <w:bottom w:val="single" w:sz="4" w:space="0" w:color="auto"/>
            </w:tcBorders>
            <w:shd w:val="clear" w:color="auto" w:fill="D9D9D9" w:themeFill="background1" w:themeFillShade="D9"/>
          </w:tcPr>
          <w:p w14:paraId="2A96320E" w14:textId="77777777" w:rsidR="002403AA" w:rsidRPr="00E764D2" w:rsidRDefault="002403AA" w:rsidP="002403AA">
            <w:pPr>
              <w:rPr>
                <w:b/>
                <w:bCs/>
                <w:color w:val="621B40"/>
              </w:rPr>
            </w:pPr>
            <w:r>
              <w:rPr>
                <w:b/>
                <w:bCs/>
                <w:color w:val="621B40"/>
              </w:rPr>
              <w:t>Orders and Contracts above Threshold Level</w:t>
            </w:r>
          </w:p>
        </w:tc>
        <w:tc>
          <w:tcPr>
            <w:tcW w:w="709" w:type="dxa"/>
            <w:tcBorders>
              <w:top w:val="single" w:sz="4" w:space="0" w:color="auto"/>
              <w:bottom w:val="single" w:sz="4" w:space="0" w:color="auto"/>
            </w:tcBorders>
            <w:shd w:val="clear" w:color="auto" w:fill="D9D9D9" w:themeFill="background1" w:themeFillShade="D9"/>
          </w:tcPr>
          <w:p w14:paraId="5F0B00C0" w14:textId="77777777" w:rsidR="002403AA" w:rsidRPr="005566E3" w:rsidRDefault="002403AA" w:rsidP="002403AA">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4428B265" w14:textId="0F8210B6" w:rsidR="002403AA" w:rsidRPr="008D470E" w:rsidRDefault="002403AA" w:rsidP="002403AA">
            <w:pPr>
              <w:rPr>
                <w:color w:val="621B40"/>
              </w:rPr>
            </w:pPr>
            <w:r>
              <w:rPr>
                <w:color w:val="621B40"/>
              </w:rPr>
              <w:t>FEC/4/22/16</w:t>
            </w:r>
          </w:p>
        </w:tc>
      </w:tr>
      <w:tr w:rsidR="002403AA" w:rsidRPr="005566E3" w14:paraId="03C783AC"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7B3F27FC" w14:textId="6AA6FAF0" w:rsidR="002403AA" w:rsidRPr="007D0C21" w:rsidRDefault="002403AA" w:rsidP="002403AA">
            <w:pPr>
              <w:spacing w:before="60" w:after="60"/>
              <w:ind w:left="-108" w:right="-105"/>
              <w:jc w:val="right"/>
            </w:pPr>
            <w:r>
              <w:t>1</w:t>
            </w:r>
            <w:r w:rsidR="00CD5A6E">
              <w:t>6.1</w:t>
            </w:r>
          </w:p>
        </w:tc>
        <w:tc>
          <w:tcPr>
            <w:tcW w:w="8788" w:type="dxa"/>
            <w:gridSpan w:val="5"/>
            <w:tcBorders>
              <w:top w:val="single" w:sz="4" w:space="0" w:color="auto"/>
              <w:bottom w:val="single" w:sz="4" w:space="0" w:color="auto"/>
            </w:tcBorders>
            <w:shd w:val="clear" w:color="auto" w:fill="auto"/>
          </w:tcPr>
          <w:p w14:paraId="72CBAB04" w14:textId="73118D29" w:rsidR="002403AA" w:rsidRDefault="002403AA" w:rsidP="002403AA">
            <w:pPr>
              <w:spacing w:before="60" w:after="60"/>
              <w:rPr>
                <w:bCs/>
              </w:rPr>
            </w:pPr>
            <w:r w:rsidRPr="00EA7FA3">
              <w:t xml:space="preserve">Members noted that the BofG had </w:t>
            </w:r>
            <w:r>
              <w:t xml:space="preserve">on 8 February </w:t>
            </w:r>
            <w:r w:rsidRPr="00EA7FA3">
              <w:t xml:space="preserve">approved the </w:t>
            </w:r>
            <w:r w:rsidRPr="00EA7FA3">
              <w:rPr>
                <w:bCs/>
              </w:rPr>
              <w:t xml:space="preserve">Invitation to Tender for the Future Strategy Programme: Online project </w:t>
            </w:r>
            <w:r>
              <w:rPr>
                <w:bCs/>
              </w:rPr>
              <w:t>and</w:t>
            </w:r>
            <w:r w:rsidRPr="00EA7FA3">
              <w:rPr>
                <w:bCs/>
              </w:rPr>
              <w:t xml:space="preserve"> that a costed proposal would be presented to the July Board meeting. </w:t>
            </w:r>
          </w:p>
          <w:p w14:paraId="40EDF472" w14:textId="02642EF8" w:rsidR="002403AA" w:rsidRPr="00443775" w:rsidRDefault="002403AA" w:rsidP="002403AA">
            <w:pPr>
              <w:spacing w:before="60" w:after="60"/>
              <w:rPr>
                <w:bCs/>
              </w:rPr>
            </w:pPr>
            <w:r>
              <w:rPr>
                <w:bCs/>
              </w:rPr>
              <w:t xml:space="preserve">In response to a question on the number of different providers for audio visual systems, the ICFO explained that procurement in this area was on a project-by-project basis since this allowed the University to go out to a rapidly evolving market rather than being tied to a single provider.  </w:t>
            </w:r>
          </w:p>
        </w:tc>
      </w:tr>
      <w:tr w:rsidR="002403AA" w:rsidRPr="005566E3" w14:paraId="7FC53499"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D9D9D9" w:themeFill="background1" w:themeFillShade="D9"/>
          </w:tcPr>
          <w:p w14:paraId="7FF28823" w14:textId="77777777" w:rsidR="002403AA" w:rsidRPr="005566E3" w:rsidRDefault="002403AA" w:rsidP="002403AA">
            <w:pPr>
              <w:ind w:left="-108" w:right="-102"/>
              <w:jc w:val="right"/>
              <w:rPr>
                <w:color w:val="621B40"/>
                <w:sz w:val="16"/>
                <w:szCs w:val="16"/>
              </w:rPr>
            </w:pPr>
            <w:bookmarkStart w:id="7" w:name="_Hlk63600632"/>
            <w:r w:rsidRPr="005566E3">
              <w:rPr>
                <w:color w:val="621B40"/>
                <w:sz w:val="16"/>
                <w:szCs w:val="16"/>
              </w:rPr>
              <w:t>Agenda item</w:t>
            </w:r>
          </w:p>
          <w:p w14:paraId="165D95C3" w14:textId="77777777" w:rsidR="002403AA" w:rsidRPr="005566E3" w:rsidRDefault="002403AA" w:rsidP="002403AA">
            <w:pPr>
              <w:ind w:left="-108" w:right="-102"/>
              <w:jc w:val="right"/>
              <w:rPr>
                <w:color w:val="621B40"/>
                <w:sz w:val="16"/>
                <w:szCs w:val="16"/>
              </w:rPr>
            </w:pPr>
            <w:r w:rsidRPr="005566E3">
              <w:rPr>
                <w:color w:val="621B40"/>
                <w:sz w:val="16"/>
                <w:szCs w:val="16"/>
              </w:rPr>
              <w:t>Paper Ref</w:t>
            </w:r>
          </w:p>
        </w:tc>
        <w:tc>
          <w:tcPr>
            <w:tcW w:w="1278" w:type="dxa"/>
            <w:tcBorders>
              <w:top w:val="single" w:sz="4" w:space="0" w:color="auto"/>
              <w:bottom w:val="single" w:sz="4" w:space="0" w:color="auto"/>
            </w:tcBorders>
            <w:shd w:val="clear" w:color="auto" w:fill="D9D9D9" w:themeFill="background1" w:themeFillShade="D9"/>
          </w:tcPr>
          <w:p w14:paraId="1F4714D0" w14:textId="70C32D2F" w:rsidR="002403AA" w:rsidRDefault="002403AA" w:rsidP="002403AA">
            <w:pPr>
              <w:rPr>
                <w:color w:val="621B40"/>
                <w:sz w:val="16"/>
                <w:szCs w:val="16"/>
              </w:rPr>
            </w:pPr>
            <w:r>
              <w:rPr>
                <w:color w:val="621B40"/>
                <w:sz w:val="16"/>
                <w:szCs w:val="16"/>
              </w:rPr>
              <w:t>15.3</w:t>
            </w:r>
          </w:p>
          <w:p w14:paraId="04F6212B" w14:textId="1171E008" w:rsidR="002403AA" w:rsidRDefault="002403AA" w:rsidP="002403AA">
            <w:pPr>
              <w:rPr>
                <w:color w:val="621B40"/>
                <w:sz w:val="16"/>
                <w:szCs w:val="16"/>
              </w:rPr>
            </w:pPr>
            <w:r>
              <w:rPr>
                <w:color w:val="621B40"/>
                <w:sz w:val="16"/>
                <w:szCs w:val="16"/>
              </w:rPr>
              <w:t>FEC/4/22</w:t>
            </w:r>
            <w:r w:rsidRPr="008D698F">
              <w:rPr>
                <w:color w:val="621B40"/>
                <w:sz w:val="16"/>
                <w:szCs w:val="16"/>
              </w:rPr>
              <w:t>/</w:t>
            </w:r>
            <w:r>
              <w:rPr>
                <w:color w:val="621B40"/>
                <w:sz w:val="16"/>
                <w:szCs w:val="16"/>
              </w:rPr>
              <w:t>15.3</w:t>
            </w:r>
          </w:p>
          <w:p w14:paraId="71632B89" w14:textId="77777777" w:rsidR="002403AA" w:rsidRDefault="002403AA" w:rsidP="002403AA">
            <w:pPr>
              <w:rPr>
                <w:color w:val="621B40"/>
                <w:sz w:val="16"/>
                <w:szCs w:val="16"/>
              </w:rPr>
            </w:pPr>
            <w:r>
              <w:rPr>
                <w:color w:val="621B40"/>
                <w:sz w:val="16"/>
                <w:szCs w:val="16"/>
              </w:rPr>
              <w:t>Confidential</w:t>
            </w:r>
          </w:p>
        </w:tc>
        <w:tc>
          <w:tcPr>
            <w:tcW w:w="5242" w:type="dxa"/>
            <w:gridSpan w:val="2"/>
            <w:tcBorders>
              <w:top w:val="single" w:sz="4" w:space="0" w:color="auto"/>
              <w:bottom w:val="single" w:sz="4" w:space="0" w:color="auto"/>
            </w:tcBorders>
            <w:shd w:val="clear" w:color="auto" w:fill="D9D9D9" w:themeFill="background1" w:themeFillShade="D9"/>
          </w:tcPr>
          <w:p w14:paraId="048A1A76" w14:textId="1DCD3ACF" w:rsidR="002403AA" w:rsidRPr="00E764D2" w:rsidRDefault="002403AA" w:rsidP="002403AA">
            <w:pPr>
              <w:rPr>
                <w:b/>
                <w:bCs/>
                <w:color w:val="621B40"/>
              </w:rPr>
            </w:pPr>
            <w:r>
              <w:rPr>
                <w:b/>
                <w:bCs/>
                <w:color w:val="621B40"/>
              </w:rPr>
              <w:t>Students’ Union (SU) Financial Monitoring</w:t>
            </w:r>
          </w:p>
        </w:tc>
        <w:tc>
          <w:tcPr>
            <w:tcW w:w="709" w:type="dxa"/>
            <w:tcBorders>
              <w:top w:val="single" w:sz="4" w:space="0" w:color="auto"/>
              <w:bottom w:val="single" w:sz="4" w:space="0" w:color="auto"/>
            </w:tcBorders>
            <w:shd w:val="clear" w:color="auto" w:fill="D9D9D9" w:themeFill="background1" w:themeFillShade="D9"/>
          </w:tcPr>
          <w:p w14:paraId="4125E5BA" w14:textId="77777777" w:rsidR="002403AA" w:rsidRPr="005566E3" w:rsidRDefault="002403AA" w:rsidP="002403AA">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65EAE7A3" w14:textId="0A9EDD1E" w:rsidR="002403AA" w:rsidRPr="008D470E" w:rsidRDefault="002403AA" w:rsidP="002403AA">
            <w:pPr>
              <w:rPr>
                <w:color w:val="621B40"/>
              </w:rPr>
            </w:pPr>
            <w:r>
              <w:rPr>
                <w:color w:val="621B40"/>
              </w:rPr>
              <w:t>FEC/4/22/17</w:t>
            </w:r>
          </w:p>
        </w:tc>
      </w:tr>
      <w:tr w:rsidR="002403AA" w:rsidRPr="005566E3" w14:paraId="3DCECCC5"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4B7FD05C" w14:textId="460F3135" w:rsidR="002403AA" w:rsidRDefault="002403AA" w:rsidP="002403AA">
            <w:pPr>
              <w:spacing w:before="60" w:after="60"/>
              <w:ind w:left="-108" w:right="-105"/>
              <w:jc w:val="right"/>
            </w:pPr>
            <w:bookmarkStart w:id="8" w:name="_Hlk88481946"/>
            <w:r>
              <w:t>1</w:t>
            </w:r>
            <w:r w:rsidR="00CD5A6E">
              <w:t>7.1</w:t>
            </w:r>
          </w:p>
        </w:tc>
        <w:tc>
          <w:tcPr>
            <w:tcW w:w="8788" w:type="dxa"/>
            <w:gridSpan w:val="5"/>
            <w:tcBorders>
              <w:top w:val="single" w:sz="4" w:space="0" w:color="auto"/>
              <w:bottom w:val="single" w:sz="4" w:space="0" w:color="auto"/>
            </w:tcBorders>
            <w:shd w:val="clear" w:color="auto" w:fill="auto"/>
          </w:tcPr>
          <w:p w14:paraId="01694027" w14:textId="202C9D9A" w:rsidR="002403AA" w:rsidRPr="00443775" w:rsidRDefault="002403AA" w:rsidP="002403AA">
            <w:pPr>
              <w:spacing w:before="60" w:after="60"/>
              <w:ind w:right="-105"/>
            </w:pPr>
            <w:r>
              <w:t>The Committee noted the SU financial results for Period 9 which showed an improved surplus against budget. The ICFO confirmed that no major changes were anticipated prior to the year end. It was noted that t</w:t>
            </w:r>
            <w:r w:rsidRPr="008067D8">
              <w:t>he SU budget</w:t>
            </w:r>
            <w:r>
              <w:t xml:space="preserve"> for 2022/23</w:t>
            </w:r>
            <w:r w:rsidRPr="008067D8">
              <w:t xml:space="preserve">  would be circulated to the Committee for approval outside of the meeting cycle</w:t>
            </w:r>
            <w:r>
              <w:t xml:space="preserve"> (noting that the SU Grant for 20</w:t>
            </w:r>
            <w:r w:rsidRPr="00D87FAE">
              <w:t xml:space="preserve">22/23 to </w:t>
            </w:r>
            <w:r>
              <w:t>20</w:t>
            </w:r>
            <w:r w:rsidRPr="00D87FAE">
              <w:t>24/25</w:t>
            </w:r>
            <w:r>
              <w:t xml:space="preserve"> had already been approved in February 2022).</w:t>
            </w:r>
          </w:p>
        </w:tc>
      </w:tr>
      <w:tr w:rsidR="002403AA" w:rsidRPr="005566E3" w14:paraId="4922DAF2"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D9D9D9" w:themeFill="background1" w:themeFillShade="D9"/>
          </w:tcPr>
          <w:p w14:paraId="2FF3B94B" w14:textId="77777777" w:rsidR="002403AA" w:rsidRDefault="002403AA" w:rsidP="002403AA">
            <w:pPr>
              <w:ind w:left="-108" w:right="-102"/>
              <w:jc w:val="right"/>
              <w:rPr>
                <w:color w:val="621B40"/>
                <w:sz w:val="16"/>
                <w:szCs w:val="16"/>
              </w:rPr>
            </w:pPr>
            <w:r>
              <w:rPr>
                <w:color w:val="621B40"/>
                <w:sz w:val="16"/>
                <w:szCs w:val="16"/>
              </w:rPr>
              <w:t>Agenda Item</w:t>
            </w:r>
          </w:p>
          <w:p w14:paraId="34183DED" w14:textId="77777777" w:rsidR="002403AA" w:rsidRDefault="002403AA" w:rsidP="002403AA">
            <w:pPr>
              <w:ind w:left="-108" w:right="-102"/>
              <w:jc w:val="right"/>
              <w:rPr>
                <w:color w:val="621B40"/>
                <w:sz w:val="16"/>
                <w:szCs w:val="16"/>
              </w:rPr>
            </w:pPr>
            <w:r>
              <w:rPr>
                <w:color w:val="621B40"/>
                <w:sz w:val="16"/>
                <w:szCs w:val="16"/>
              </w:rPr>
              <w:t>Paper Ref</w:t>
            </w:r>
          </w:p>
          <w:p w14:paraId="210C721C" w14:textId="77777777" w:rsidR="002403AA" w:rsidRPr="005566E3" w:rsidRDefault="002403AA" w:rsidP="002403AA">
            <w:pPr>
              <w:ind w:left="-108" w:right="-102"/>
              <w:jc w:val="right"/>
              <w:rPr>
                <w:color w:val="621B40"/>
                <w:sz w:val="16"/>
                <w:szCs w:val="16"/>
              </w:rPr>
            </w:pPr>
          </w:p>
        </w:tc>
        <w:tc>
          <w:tcPr>
            <w:tcW w:w="1278" w:type="dxa"/>
            <w:tcBorders>
              <w:top w:val="single" w:sz="4" w:space="0" w:color="auto"/>
              <w:bottom w:val="single" w:sz="4" w:space="0" w:color="auto"/>
            </w:tcBorders>
            <w:shd w:val="clear" w:color="auto" w:fill="D9D9D9" w:themeFill="background1" w:themeFillShade="D9"/>
          </w:tcPr>
          <w:p w14:paraId="75825ACF" w14:textId="77777777" w:rsidR="002403AA" w:rsidRDefault="002403AA" w:rsidP="002403AA">
            <w:pPr>
              <w:rPr>
                <w:color w:val="621B40"/>
                <w:sz w:val="16"/>
                <w:szCs w:val="16"/>
              </w:rPr>
            </w:pPr>
            <w:r>
              <w:rPr>
                <w:color w:val="621B40"/>
                <w:sz w:val="16"/>
                <w:szCs w:val="16"/>
              </w:rPr>
              <w:t>16</w:t>
            </w:r>
          </w:p>
          <w:p w14:paraId="24E2B1B5" w14:textId="65DA1762" w:rsidR="002403AA" w:rsidRDefault="002403AA" w:rsidP="002403AA">
            <w:pPr>
              <w:rPr>
                <w:color w:val="621B40"/>
                <w:sz w:val="16"/>
                <w:szCs w:val="16"/>
              </w:rPr>
            </w:pPr>
            <w:r>
              <w:rPr>
                <w:color w:val="621B40"/>
                <w:sz w:val="16"/>
                <w:szCs w:val="16"/>
              </w:rPr>
              <w:t>FEC/4/22</w:t>
            </w:r>
            <w:r w:rsidRPr="00653D82">
              <w:rPr>
                <w:color w:val="621B40"/>
                <w:sz w:val="16"/>
                <w:szCs w:val="16"/>
              </w:rPr>
              <w:t>/1</w:t>
            </w:r>
            <w:r>
              <w:rPr>
                <w:color w:val="621B40"/>
                <w:sz w:val="16"/>
                <w:szCs w:val="16"/>
              </w:rPr>
              <w:t>6</w:t>
            </w:r>
          </w:p>
        </w:tc>
        <w:tc>
          <w:tcPr>
            <w:tcW w:w="5242" w:type="dxa"/>
            <w:gridSpan w:val="2"/>
            <w:tcBorders>
              <w:top w:val="single" w:sz="4" w:space="0" w:color="auto"/>
              <w:bottom w:val="single" w:sz="4" w:space="0" w:color="auto"/>
            </w:tcBorders>
            <w:shd w:val="clear" w:color="auto" w:fill="D9D9D9" w:themeFill="background1" w:themeFillShade="D9"/>
          </w:tcPr>
          <w:p w14:paraId="27C845FF" w14:textId="1E653F84" w:rsidR="002403AA" w:rsidRPr="00E764D2" w:rsidRDefault="002403AA" w:rsidP="002403AA">
            <w:pPr>
              <w:rPr>
                <w:b/>
                <w:bCs/>
                <w:color w:val="621B40"/>
              </w:rPr>
            </w:pPr>
            <w:r>
              <w:rPr>
                <w:b/>
                <w:bCs/>
                <w:color w:val="621B40"/>
              </w:rPr>
              <w:t>Interim Health, Safety and Wellbeing Report</w:t>
            </w:r>
          </w:p>
        </w:tc>
        <w:tc>
          <w:tcPr>
            <w:tcW w:w="709" w:type="dxa"/>
            <w:tcBorders>
              <w:top w:val="single" w:sz="4" w:space="0" w:color="auto"/>
              <w:bottom w:val="single" w:sz="4" w:space="0" w:color="auto"/>
            </w:tcBorders>
            <w:shd w:val="clear" w:color="auto" w:fill="D9D9D9" w:themeFill="background1" w:themeFillShade="D9"/>
          </w:tcPr>
          <w:p w14:paraId="493207ED" w14:textId="77777777" w:rsidR="002403AA" w:rsidRPr="005566E3" w:rsidRDefault="002403AA" w:rsidP="002403AA">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1F66E318" w14:textId="6503848A" w:rsidR="002403AA" w:rsidRPr="008D470E" w:rsidRDefault="002403AA" w:rsidP="002403AA">
            <w:pPr>
              <w:rPr>
                <w:color w:val="621B40"/>
              </w:rPr>
            </w:pPr>
            <w:r>
              <w:rPr>
                <w:color w:val="621B40"/>
              </w:rPr>
              <w:t>FEC/4/22/18</w:t>
            </w:r>
          </w:p>
        </w:tc>
      </w:tr>
      <w:tr w:rsidR="002403AA" w:rsidRPr="005566E3" w14:paraId="3C0F6BDB"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59365DD7" w14:textId="5008A052" w:rsidR="002403AA" w:rsidRPr="007D0C21" w:rsidRDefault="002403AA" w:rsidP="002403AA">
            <w:pPr>
              <w:spacing w:before="60" w:after="60"/>
              <w:ind w:left="-108" w:right="-105"/>
              <w:jc w:val="right"/>
            </w:pPr>
            <w:r>
              <w:t>1</w:t>
            </w:r>
            <w:r w:rsidR="00CD5A6E">
              <w:t>8</w:t>
            </w:r>
            <w:r>
              <w:t>.1</w:t>
            </w:r>
          </w:p>
        </w:tc>
        <w:tc>
          <w:tcPr>
            <w:tcW w:w="8788" w:type="dxa"/>
            <w:gridSpan w:val="5"/>
            <w:tcBorders>
              <w:top w:val="single" w:sz="4" w:space="0" w:color="auto"/>
              <w:bottom w:val="single" w:sz="4" w:space="0" w:color="auto"/>
            </w:tcBorders>
            <w:shd w:val="clear" w:color="auto" w:fill="auto"/>
          </w:tcPr>
          <w:p w14:paraId="244F0E97" w14:textId="58EADC59" w:rsidR="002403AA" w:rsidRDefault="002403AA" w:rsidP="002403AA">
            <w:pPr>
              <w:spacing w:before="60" w:after="60"/>
            </w:pPr>
            <w:r>
              <w:t xml:space="preserve">Members noted the interim Health, Safety and Wellbeing Report. </w:t>
            </w:r>
          </w:p>
          <w:p w14:paraId="15BAD87A" w14:textId="54CF0065" w:rsidR="002403AA" w:rsidRPr="007D0C21" w:rsidRDefault="002403AA" w:rsidP="002403AA">
            <w:pPr>
              <w:spacing w:before="60" w:after="60"/>
            </w:pPr>
          </w:p>
        </w:tc>
      </w:tr>
      <w:bookmarkEnd w:id="7"/>
      <w:bookmarkEnd w:id="8"/>
      <w:tr w:rsidR="002403AA" w:rsidRPr="005566E3" w14:paraId="20F4B088"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D9D9D9" w:themeFill="background1" w:themeFillShade="D9"/>
          </w:tcPr>
          <w:p w14:paraId="18131130" w14:textId="77777777" w:rsidR="002403AA" w:rsidRDefault="002403AA" w:rsidP="002403AA">
            <w:pPr>
              <w:ind w:left="-108" w:right="-102"/>
              <w:jc w:val="right"/>
              <w:rPr>
                <w:color w:val="621B40"/>
                <w:sz w:val="16"/>
                <w:szCs w:val="16"/>
              </w:rPr>
            </w:pPr>
            <w:r>
              <w:rPr>
                <w:color w:val="621B40"/>
                <w:sz w:val="16"/>
                <w:szCs w:val="16"/>
              </w:rPr>
              <w:lastRenderedPageBreak/>
              <w:t xml:space="preserve">Agenda </w:t>
            </w:r>
            <w:bookmarkStart w:id="9" w:name="_Hlk96936744"/>
            <w:r>
              <w:rPr>
                <w:color w:val="621B40"/>
                <w:sz w:val="16"/>
                <w:szCs w:val="16"/>
              </w:rPr>
              <w:t>Item</w:t>
            </w:r>
          </w:p>
          <w:p w14:paraId="2E871EA7" w14:textId="77777777" w:rsidR="002403AA" w:rsidRDefault="002403AA" w:rsidP="002403AA">
            <w:pPr>
              <w:ind w:left="-108" w:right="-102"/>
              <w:jc w:val="right"/>
              <w:rPr>
                <w:color w:val="621B40"/>
                <w:sz w:val="16"/>
                <w:szCs w:val="16"/>
              </w:rPr>
            </w:pPr>
            <w:r>
              <w:rPr>
                <w:color w:val="621B40"/>
                <w:sz w:val="16"/>
                <w:szCs w:val="16"/>
              </w:rPr>
              <w:t>Paper Ref</w:t>
            </w:r>
          </w:p>
          <w:p w14:paraId="10AFB9B3" w14:textId="77777777" w:rsidR="002403AA" w:rsidRPr="005566E3" w:rsidRDefault="002403AA" w:rsidP="002403AA">
            <w:pPr>
              <w:ind w:left="-108" w:right="-102"/>
              <w:jc w:val="right"/>
              <w:rPr>
                <w:color w:val="621B40"/>
                <w:sz w:val="16"/>
                <w:szCs w:val="16"/>
              </w:rPr>
            </w:pPr>
          </w:p>
        </w:tc>
        <w:tc>
          <w:tcPr>
            <w:tcW w:w="1278" w:type="dxa"/>
            <w:tcBorders>
              <w:top w:val="single" w:sz="4" w:space="0" w:color="auto"/>
              <w:bottom w:val="single" w:sz="4" w:space="0" w:color="auto"/>
            </w:tcBorders>
            <w:shd w:val="clear" w:color="auto" w:fill="D9D9D9" w:themeFill="background1" w:themeFillShade="D9"/>
          </w:tcPr>
          <w:p w14:paraId="4073B103" w14:textId="27574DC1" w:rsidR="002403AA" w:rsidRDefault="002403AA" w:rsidP="002403AA">
            <w:pPr>
              <w:rPr>
                <w:color w:val="621B40"/>
                <w:sz w:val="16"/>
                <w:szCs w:val="16"/>
              </w:rPr>
            </w:pPr>
            <w:r>
              <w:rPr>
                <w:color w:val="621B40"/>
                <w:sz w:val="16"/>
                <w:szCs w:val="16"/>
              </w:rPr>
              <w:t>17</w:t>
            </w:r>
          </w:p>
          <w:p w14:paraId="315AA7A4" w14:textId="307E9271" w:rsidR="002403AA" w:rsidRDefault="002403AA" w:rsidP="002403AA">
            <w:pPr>
              <w:rPr>
                <w:color w:val="621B40"/>
                <w:sz w:val="16"/>
                <w:szCs w:val="16"/>
              </w:rPr>
            </w:pPr>
            <w:r>
              <w:rPr>
                <w:color w:val="621B40"/>
                <w:sz w:val="16"/>
                <w:szCs w:val="16"/>
              </w:rPr>
              <w:t>FEC/4/22</w:t>
            </w:r>
            <w:r w:rsidRPr="00653D82">
              <w:rPr>
                <w:color w:val="621B40"/>
                <w:sz w:val="16"/>
                <w:szCs w:val="16"/>
              </w:rPr>
              <w:t>/1</w:t>
            </w:r>
            <w:r>
              <w:rPr>
                <w:color w:val="621B40"/>
                <w:sz w:val="16"/>
                <w:szCs w:val="16"/>
              </w:rPr>
              <w:t>7</w:t>
            </w:r>
          </w:p>
        </w:tc>
        <w:tc>
          <w:tcPr>
            <w:tcW w:w="5242" w:type="dxa"/>
            <w:gridSpan w:val="2"/>
            <w:tcBorders>
              <w:top w:val="single" w:sz="4" w:space="0" w:color="auto"/>
              <w:bottom w:val="single" w:sz="4" w:space="0" w:color="auto"/>
            </w:tcBorders>
            <w:shd w:val="clear" w:color="auto" w:fill="D9D9D9" w:themeFill="background1" w:themeFillShade="D9"/>
          </w:tcPr>
          <w:p w14:paraId="7DDE1976" w14:textId="77777777" w:rsidR="002403AA" w:rsidRPr="00E764D2" w:rsidRDefault="002403AA" w:rsidP="002403AA">
            <w:pPr>
              <w:rPr>
                <w:b/>
                <w:bCs/>
                <w:color w:val="621B40"/>
              </w:rPr>
            </w:pPr>
            <w:r w:rsidRPr="00653D82">
              <w:rPr>
                <w:b/>
                <w:bCs/>
                <w:color w:val="621B40"/>
              </w:rPr>
              <w:t xml:space="preserve">Annual Business Cycle </w:t>
            </w:r>
            <w:r>
              <w:rPr>
                <w:b/>
                <w:bCs/>
                <w:color w:val="621B40"/>
              </w:rPr>
              <w:t>2021/22</w:t>
            </w:r>
          </w:p>
        </w:tc>
        <w:tc>
          <w:tcPr>
            <w:tcW w:w="709" w:type="dxa"/>
            <w:tcBorders>
              <w:top w:val="single" w:sz="4" w:space="0" w:color="auto"/>
              <w:bottom w:val="single" w:sz="4" w:space="0" w:color="auto"/>
            </w:tcBorders>
            <w:shd w:val="clear" w:color="auto" w:fill="D9D9D9" w:themeFill="background1" w:themeFillShade="D9"/>
          </w:tcPr>
          <w:p w14:paraId="4C83D0BB" w14:textId="77777777" w:rsidR="002403AA" w:rsidRPr="005566E3" w:rsidRDefault="002403AA" w:rsidP="002403AA">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77EB825A" w14:textId="550B2C58" w:rsidR="002403AA" w:rsidRPr="008D470E" w:rsidRDefault="002403AA" w:rsidP="002403AA">
            <w:pPr>
              <w:rPr>
                <w:color w:val="621B40"/>
              </w:rPr>
            </w:pPr>
            <w:r>
              <w:rPr>
                <w:color w:val="621B40"/>
              </w:rPr>
              <w:t>FEC/4/22/19</w:t>
            </w:r>
          </w:p>
        </w:tc>
      </w:tr>
      <w:tr w:rsidR="002403AA" w:rsidRPr="005566E3" w14:paraId="75A0B0A3"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6625125E" w14:textId="44EAF750" w:rsidR="002403AA" w:rsidRPr="007D0C21" w:rsidRDefault="002403AA" w:rsidP="002403AA">
            <w:pPr>
              <w:spacing w:before="60" w:after="60"/>
              <w:ind w:left="-108" w:right="-105"/>
              <w:jc w:val="right"/>
            </w:pPr>
            <w:r>
              <w:t>1</w:t>
            </w:r>
            <w:r w:rsidR="00CD5A6E">
              <w:t>9</w:t>
            </w:r>
            <w:r>
              <w:t>.1</w:t>
            </w:r>
          </w:p>
        </w:tc>
        <w:tc>
          <w:tcPr>
            <w:tcW w:w="8788" w:type="dxa"/>
            <w:gridSpan w:val="5"/>
            <w:tcBorders>
              <w:top w:val="single" w:sz="4" w:space="0" w:color="auto"/>
              <w:bottom w:val="single" w:sz="4" w:space="0" w:color="auto"/>
            </w:tcBorders>
            <w:shd w:val="clear" w:color="auto" w:fill="auto"/>
          </w:tcPr>
          <w:p w14:paraId="373E8C7F" w14:textId="1B3CE0CB" w:rsidR="002403AA" w:rsidRPr="007D0C21" w:rsidRDefault="002403AA" w:rsidP="002403AA">
            <w:pPr>
              <w:spacing w:before="60" w:after="60"/>
            </w:pPr>
            <w:r>
              <w:t>The forward schedule of business for the 2022/23 academic year was received.</w:t>
            </w:r>
          </w:p>
        </w:tc>
      </w:tr>
      <w:bookmarkEnd w:id="9"/>
      <w:tr w:rsidR="002403AA" w:rsidRPr="008D470E" w14:paraId="5355B84D"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D9D9D9" w:themeFill="background1" w:themeFillShade="D9"/>
          </w:tcPr>
          <w:p w14:paraId="20233427" w14:textId="738B6347" w:rsidR="002403AA" w:rsidRDefault="002403AA" w:rsidP="002403AA">
            <w:pPr>
              <w:ind w:left="-108" w:right="-102"/>
              <w:jc w:val="right"/>
              <w:rPr>
                <w:color w:val="621B40"/>
                <w:sz w:val="16"/>
                <w:szCs w:val="16"/>
              </w:rPr>
            </w:pPr>
            <w:r>
              <w:rPr>
                <w:color w:val="621B40"/>
                <w:sz w:val="16"/>
                <w:szCs w:val="16"/>
              </w:rPr>
              <w:t>Agenda Item</w:t>
            </w:r>
          </w:p>
        </w:tc>
        <w:tc>
          <w:tcPr>
            <w:tcW w:w="1278" w:type="dxa"/>
            <w:tcBorders>
              <w:top w:val="single" w:sz="4" w:space="0" w:color="auto"/>
              <w:bottom w:val="single" w:sz="4" w:space="0" w:color="auto"/>
            </w:tcBorders>
            <w:shd w:val="clear" w:color="auto" w:fill="D9D9D9" w:themeFill="background1" w:themeFillShade="D9"/>
          </w:tcPr>
          <w:p w14:paraId="019476B1" w14:textId="388509C7" w:rsidR="002403AA" w:rsidRDefault="002403AA" w:rsidP="002403AA">
            <w:pPr>
              <w:rPr>
                <w:color w:val="621B40"/>
                <w:sz w:val="16"/>
                <w:szCs w:val="16"/>
              </w:rPr>
            </w:pPr>
            <w:r>
              <w:rPr>
                <w:color w:val="621B40"/>
                <w:sz w:val="16"/>
                <w:szCs w:val="16"/>
              </w:rPr>
              <w:t>18</w:t>
            </w:r>
          </w:p>
        </w:tc>
        <w:tc>
          <w:tcPr>
            <w:tcW w:w="5242" w:type="dxa"/>
            <w:gridSpan w:val="2"/>
            <w:tcBorders>
              <w:top w:val="single" w:sz="4" w:space="0" w:color="auto"/>
              <w:bottom w:val="single" w:sz="4" w:space="0" w:color="auto"/>
            </w:tcBorders>
            <w:shd w:val="clear" w:color="auto" w:fill="D9D9D9" w:themeFill="background1" w:themeFillShade="D9"/>
          </w:tcPr>
          <w:p w14:paraId="379A1275" w14:textId="1322D666" w:rsidR="002403AA" w:rsidRDefault="002403AA" w:rsidP="002403AA">
            <w:pPr>
              <w:rPr>
                <w:b/>
                <w:bCs/>
                <w:color w:val="621B40"/>
              </w:rPr>
            </w:pPr>
            <w:r>
              <w:rPr>
                <w:b/>
                <w:bCs/>
                <w:color w:val="621B40"/>
              </w:rPr>
              <w:t>Other Urgent Business</w:t>
            </w:r>
          </w:p>
        </w:tc>
        <w:tc>
          <w:tcPr>
            <w:tcW w:w="709" w:type="dxa"/>
            <w:tcBorders>
              <w:top w:val="single" w:sz="4" w:space="0" w:color="auto"/>
              <w:bottom w:val="single" w:sz="4" w:space="0" w:color="auto"/>
            </w:tcBorders>
            <w:shd w:val="clear" w:color="auto" w:fill="D9D9D9" w:themeFill="background1" w:themeFillShade="D9"/>
          </w:tcPr>
          <w:p w14:paraId="2CC2E826" w14:textId="7ED14FB9" w:rsidR="002403AA" w:rsidRPr="005566E3" w:rsidRDefault="002403AA" w:rsidP="002403AA">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single" w:sz="4" w:space="0" w:color="auto"/>
            </w:tcBorders>
            <w:shd w:val="clear" w:color="auto" w:fill="D9D9D9" w:themeFill="background1" w:themeFillShade="D9"/>
          </w:tcPr>
          <w:p w14:paraId="4C50D059" w14:textId="02DF4211" w:rsidR="002403AA" w:rsidRPr="008D470E" w:rsidRDefault="002403AA" w:rsidP="002403AA">
            <w:pPr>
              <w:rPr>
                <w:color w:val="621B40"/>
              </w:rPr>
            </w:pPr>
            <w:r>
              <w:rPr>
                <w:color w:val="621B40"/>
              </w:rPr>
              <w:t>FEC/4/22/20</w:t>
            </w:r>
          </w:p>
        </w:tc>
      </w:tr>
      <w:tr w:rsidR="002403AA" w:rsidRPr="008D470E" w14:paraId="7E5DA115" w14:textId="77777777" w:rsidTr="00130AB7">
        <w:tblPrEx>
          <w:tblBorders>
            <w:top w:val="single" w:sz="4" w:space="0" w:color="auto"/>
            <w:bottom w:val="single" w:sz="4" w:space="0" w:color="auto"/>
          </w:tblBorders>
        </w:tblPrEx>
        <w:tc>
          <w:tcPr>
            <w:tcW w:w="851" w:type="dxa"/>
            <w:tcBorders>
              <w:top w:val="single" w:sz="4" w:space="0" w:color="auto"/>
              <w:bottom w:val="single" w:sz="4" w:space="0" w:color="auto"/>
            </w:tcBorders>
            <w:shd w:val="clear" w:color="auto" w:fill="auto"/>
          </w:tcPr>
          <w:p w14:paraId="6124C454" w14:textId="7C31DE25" w:rsidR="002403AA" w:rsidRPr="007107B5" w:rsidRDefault="00CD5A6E" w:rsidP="002403AA">
            <w:pPr>
              <w:spacing w:before="60" w:after="60"/>
              <w:ind w:left="-108" w:right="-105"/>
              <w:jc w:val="right"/>
            </w:pPr>
            <w:r>
              <w:t>20</w:t>
            </w:r>
            <w:r w:rsidR="002403AA">
              <w:t>.</w:t>
            </w:r>
            <w:r w:rsidR="002403AA" w:rsidRPr="007D0C21">
              <w:t>1</w:t>
            </w:r>
          </w:p>
        </w:tc>
        <w:tc>
          <w:tcPr>
            <w:tcW w:w="8788" w:type="dxa"/>
            <w:gridSpan w:val="5"/>
            <w:tcBorders>
              <w:top w:val="single" w:sz="4" w:space="0" w:color="auto"/>
              <w:bottom w:val="single" w:sz="4" w:space="0" w:color="auto"/>
            </w:tcBorders>
            <w:shd w:val="clear" w:color="auto" w:fill="auto"/>
          </w:tcPr>
          <w:p w14:paraId="7F586D14" w14:textId="10EBDF42" w:rsidR="002403AA" w:rsidRPr="007107B5" w:rsidRDefault="002403AA" w:rsidP="002403AA">
            <w:pPr>
              <w:spacing w:before="60" w:after="60"/>
            </w:pPr>
            <w:r>
              <w:t xml:space="preserve">On behalf of the Committee, the Chair expressed their gratitude to Chris Kenny, who would be retiring from the BofG at the end of July 2022, for his excellent contribution. </w:t>
            </w:r>
          </w:p>
        </w:tc>
      </w:tr>
      <w:tr w:rsidR="002403AA" w:rsidRPr="008D470E" w14:paraId="5763A09B" w14:textId="77777777" w:rsidTr="00130AB7">
        <w:tblPrEx>
          <w:tblBorders>
            <w:top w:val="single" w:sz="4" w:space="0" w:color="auto"/>
            <w:bottom w:val="single" w:sz="4" w:space="0" w:color="auto"/>
          </w:tblBorders>
        </w:tblPrEx>
        <w:tc>
          <w:tcPr>
            <w:tcW w:w="851" w:type="dxa"/>
            <w:tcBorders>
              <w:top w:val="single" w:sz="4" w:space="0" w:color="auto"/>
              <w:bottom w:val="nil"/>
            </w:tcBorders>
            <w:shd w:val="clear" w:color="auto" w:fill="D9D9D9" w:themeFill="background1" w:themeFillShade="D9"/>
          </w:tcPr>
          <w:p w14:paraId="6293C3FF" w14:textId="55449D4C" w:rsidR="002403AA" w:rsidRDefault="002403AA" w:rsidP="002403AA">
            <w:pPr>
              <w:ind w:left="-108" w:right="-102"/>
              <w:jc w:val="right"/>
              <w:rPr>
                <w:color w:val="621B40"/>
                <w:sz w:val="16"/>
                <w:szCs w:val="16"/>
              </w:rPr>
            </w:pPr>
            <w:r>
              <w:rPr>
                <w:color w:val="621B40"/>
                <w:sz w:val="16"/>
                <w:szCs w:val="16"/>
              </w:rPr>
              <w:t>Agenda Item</w:t>
            </w:r>
          </w:p>
        </w:tc>
        <w:tc>
          <w:tcPr>
            <w:tcW w:w="1278" w:type="dxa"/>
            <w:tcBorders>
              <w:top w:val="single" w:sz="4" w:space="0" w:color="auto"/>
              <w:bottom w:val="nil"/>
            </w:tcBorders>
            <w:shd w:val="clear" w:color="auto" w:fill="D9D9D9" w:themeFill="background1" w:themeFillShade="D9"/>
          </w:tcPr>
          <w:p w14:paraId="59D2ED05" w14:textId="55AE2815" w:rsidR="002403AA" w:rsidRDefault="002403AA" w:rsidP="002403AA">
            <w:pPr>
              <w:rPr>
                <w:color w:val="621B40"/>
                <w:sz w:val="16"/>
                <w:szCs w:val="16"/>
              </w:rPr>
            </w:pPr>
            <w:r>
              <w:rPr>
                <w:color w:val="621B40"/>
                <w:sz w:val="16"/>
                <w:szCs w:val="16"/>
              </w:rPr>
              <w:t>19</w:t>
            </w:r>
          </w:p>
        </w:tc>
        <w:tc>
          <w:tcPr>
            <w:tcW w:w="5242" w:type="dxa"/>
            <w:gridSpan w:val="2"/>
            <w:tcBorders>
              <w:top w:val="single" w:sz="4" w:space="0" w:color="auto"/>
              <w:bottom w:val="nil"/>
            </w:tcBorders>
            <w:shd w:val="clear" w:color="auto" w:fill="D9D9D9" w:themeFill="background1" w:themeFillShade="D9"/>
          </w:tcPr>
          <w:p w14:paraId="0BDBBB6D" w14:textId="280DDE0C" w:rsidR="002403AA" w:rsidRDefault="002403AA" w:rsidP="002403AA">
            <w:pPr>
              <w:rPr>
                <w:b/>
                <w:bCs/>
                <w:color w:val="621B40"/>
              </w:rPr>
            </w:pPr>
            <w:r>
              <w:rPr>
                <w:b/>
                <w:bCs/>
                <w:color w:val="621B40"/>
              </w:rPr>
              <w:t>Date of Next Meeting</w:t>
            </w:r>
          </w:p>
        </w:tc>
        <w:tc>
          <w:tcPr>
            <w:tcW w:w="709" w:type="dxa"/>
            <w:tcBorders>
              <w:top w:val="single" w:sz="4" w:space="0" w:color="auto"/>
              <w:bottom w:val="nil"/>
            </w:tcBorders>
            <w:shd w:val="clear" w:color="auto" w:fill="D9D9D9" w:themeFill="background1" w:themeFillShade="D9"/>
          </w:tcPr>
          <w:p w14:paraId="07B1F993" w14:textId="0148D859" w:rsidR="002403AA" w:rsidRPr="005566E3" w:rsidRDefault="002403AA" w:rsidP="002403AA">
            <w:pPr>
              <w:ind w:right="-96"/>
              <w:jc w:val="right"/>
              <w:rPr>
                <w:color w:val="621B40"/>
                <w:sz w:val="16"/>
                <w:szCs w:val="16"/>
              </w:rPr>
            </w:pPr>
            <w:r w:rsidRPr="005566E3">
              <w:rPr>
                <w:color w:val="621B40"/>
                <w:sz w:val="16"/>
                <w:szCs w:val="16"/>
              </w:rPr>
              <w:t>Minute Ref</w:t>
            </w:r>
          </w:p>
        </w:tc>
        <w:tc>
          <w:tcPr>
            <w:tcW w:w="1559" w:type="dxa"/>
            <w:tcBorders>
              <w:top w:val="single" w:sz="4" w:space="0" w:color="auto"/>
              <w:bottom w:val="nil"/>
            </w:tcBorders>
            <w:shd w:val="clear" w:color="auto" w:fill="D9D9D9" w:themeFill="background1" w:themeFillShade="D9"/>
          </w:tcPr>
          <w:p w14:paraId="51C03FFD" w14:textId="70A0BB24" w:rsidR="002403AA" w:rsidRPr="008D470E" w:rsidRDefault="002403AA" w:rsidP="002403AA">
            <w:pPr>
              <w:rPr>
                <w:color w:val="621B40"/>
              </w:rPr>
            </w:pPr>
            <w:r>
              <w:rPr>
                <w:color w:val="621B40"/>
              </w:rPr>
              <w:t>FEC/4/22/21</w:t>
            </w:r>
          </w:p>
        </w:tc>
      </w:tr>
      <w:tr w:rsidR="002403AA" w:rsidRPr="008D470E" w14:paraId="5FEF7A26" w14:textId="77777777" w:rsidTr="00130AB7">
        <w:tblPrEx>
          <w:tblBorders>
            <w:top w:val="single" w:sz="4" w:space="0" w:color="auto"/>
            <w:bottom w:val="single" w:sz="4" w:space="0" w:color="auto"/>
          </w:tblBorders>
        </w:tblPrEx>
        <w:tc>
          <w:tcPr>
            <w:tcW w:w="851" w:type="dxa"/>
            <w:tcBorders>
              <w:top w:val="nil"/>
              <w:bottom w:val="single" w:sz="4" w:space="0" w:color="auto"/>
            </w:tcBorders>
            <w:shd w:val="clear" w:color="auto" w:fill="auto"/>
          </w:tcPr>
          <w:p w14:paraId="3317C7E4" w14:textId="2E34143D" w:rsidR="002403AA" w:rsidRPr="007107B5" w:rsidRDefault="00CD5A6E" w:rsidP="002403AA">
            <w:pPr>
              <w:spacing w:before="60" w:after="60"/>
              <w:ind w:left="-108" w:right="-105"/>
              <w:jc w:val="right"/>
            </w:pPr>
            <w:r>
              <w:t>21</w:t>
            </w:r>
            <w:r w:rsidR="002403AA">
              <w:t>.</w:t>
            </w:r>
            <w:r w:rsidR="002403AA" w:rsidRPr="007D0C21">
              <w:t>1</w:t>
            </w:r>
          </w:p>
        </w:tc>
        <w:tc>
          <w:tcPr>
            <w:tcW w:w="8788" w:type="dxa"/>
            <w:gridSpan w:val="5"/>
            <w:tcBorders>
              <w:top w:val="nil"/>
              <w:bottom w:val="single" w:sz="4" w:space="0" w:color="auto"/>
            </w:tcBorders>
            <w:shd w:val="clear" w:color="auto" w:fill="auto"/>
          </w:tcPr>
          <w:p w14:paraId="7A386108" w14:textId="1BFB5459" w:rsidR="002403AA" w:rsidRPr="00F12838" w:rsidRDefault="002403AA" w:rsidP="002403AA">
            <w:pPr>
              <w:spacing w:before="60" w:after="60"/>
              <w:rPr>
                <w:highlight w:val="yellow"/>
              </w:rPr>
            </w:pPr>
            <w:r>
              <w:rPr>
                <w:bCs/>
              </w:rPr>
              <w:t>Tuesday 20 September 2022, 9.30-12.30  (via Zoom).</w:t>
            </w:r>
          </w:p>
        </w:tc>
      </w:tr>
    </w:tbl>
    <w:p w14:paraId="264B8D5A" w14:textId="31F9630C" w:rsidR="002809E2" w:rsidRDefault="002809E2" w:rsidP="31113989"/>
    <w:p w14:paraId="4759897E" w14:textId="50FC8136" w:rsidR="00084167" w:rsidRDefault="00084167" w:rsidP="31113989"/>
    <w:p w14:paraId="01F5D7AD" w14:textId="2DFE49B3" w:rsidR="00084167" w:rsidRDefault="00084167" w:rsidP="31113989"/>
    <w:p w14:paraId="5AEE8C3C" w14:textId="60745D82" w:rsidR="00084167" w:rsidRDefault="00084167" w:rsidP="00084167">
      <w:pPr>
        <w:spacing w:after="0"/>
      </w:pPr>
    </w:p>
    <w:p w14:paraId="2AE21914" w14:textId="77777777" w:rsidR="00AA2B2A" w:rsidRDefault="00AA2B2A" w:rsidP="00AA2B2A">
      <w:pPr>
        <w:spacing w:after="0"/>
      </w:pPr>
      <w:r>
        <w:t>Meg Munn</w:t>
      </w:r>
    </w:p>
    <w:p w14:paraId="3EE8E676" w14:textId="77777777" w:rsidR="00AA2B2A" w:rsidRDefault="00AA2B2A" w:rsidP="00AA2B2A">
      <w:pPr>
        <w:spacing w:after="0"/>
      </w:pPr>
      <w:r>
        <w:t>Chair of the Finance and Employment Committee</w:t>
      </w:r>
    </w:p>
    <w:p w14:paraId="6B3436C1" w14:textId="309B4D92" w:rsidR="000A18B7" w:rsidRDefault="000A18B7" w:rsidP="00084167">
      <w:pPr>
        <w:spacing w:after="0"/>
      </w:pPr>
    </w:p>
    <w:sectPr w:rsidR="000A18B7" w:rsidSect="00D36431">
      <w:headerReference w:type="default" r:id="rId11"/>
      <w:footerReference w:type="default" r:id="rId12"/>
      <w:pgSz w:w="11906" w:h="16838"/>
      <w:pgMar w:top="1134" w:right="1134" w:bottom="1276" w:left="1440" w:header="709"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17E55" w14:textId="77777777" w:rsidR="009C0C15" w:rsidRDefault="009C0C15" w:rsidP="0000042C">
      <w:pPr>
        <w:spacing w:after="0" w:line="240" w:lineRule="auto"/>
      </w:pPr>
      <w:r>
        <w:separator/>
      </w:r>
    </w:p>
  </w:endnote>
  <w:endnote w:type="continuationSeparator" w:id="0">
    <w:p w14:paraId="2BD1501D" w14:textId="77777777" w:rsidR="009C0C15" w:rsidRDefault="009C0C15" w:rsidP="0000042C">
      <w:pPr>
        <w:spacing w:after="0" w:line="240" w:lineRule="auto"/>
      </w:pPr>
      <w:r>
        <w:continuationSeparator/>
      </w:r>
    </w:p>
  </w:endnote>
  <w:endnote w:type="continuationNotice" w:id="1">
    <w:p w14:paraId="1A42D02D" w14:textId="77777777" w:rsidR="009C0C15" w:rsidRDefault="009C0C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0157540" w:rsidR="007607D5" w:rsidRPr="009F2503" w:rsidRDefault="007607D5">
            <w:pPr>
              <w:pStyle w:val="Footer"/>
              <w:jc w:val="right"/>
              <w:rPr>
                <w:color w:val="621B40"/>
                <w:sz w:val="16"/>
                <w:szCs w:val="16"/>
              </w:rPr>
            </w:pPr>
            <w:r w:rsidRPr="009F2503">
              <w:rPr>
                <w:color w:val="621B40"/>
                <w:sz w:val="16"/>
                <w:szCs w:val="16"/>
              </w:rPr>
              <w:t xml:space="preserve">Page </w:t>
            </w:r>
            <w:r w:rsidRPr="009F2503">
              <w:rPr>
                <w:b/>
                <w:bCs/>
                <w:color w:val="621B40"/>
                <w:sz w:val="16"/>
                <w:szCs w:val="16"/>
              </w:rPr>
              <w:fldChar w:fldCharType="begin"/>
            </w:r>
            <w:r w:rsidRPr="009F2503">
              <w:rPr>
                <w:b/>
                <w:bCs/>
                <w:color w:val="621B40"/>
                <w:sz w:val="16"/>
                <w:szCs w:val="16"/>
              </w:rPr>
              <w:instrText xml:space="preserve"> PAGE </w:instrText>
            </w:r>
            <w:r w:rsidRPr="009F2503">
              <w:rPr>
                <w:b/>
                <w:bCs/>
                <w:color w:val="621B40"/>
                <w:sz w:val="16"/>
                <w:szCs w:val="16"/>
              </w:rPr>
              <w:fldChar w:fldCharType="separate"/>
            </w:r>
            <w:r w:rsidRPr="009F2503">
              <w:rPr>
                <w:b/>
                <w:bCs/>
                <w:noProof/>
                <w:color w:val="621B40"/>
                <w:sz w:val="16"/>
                <w:szCs w:val="16"/>
              </w:rPr>
              <w:t>2</w:t>
            </w:r>
            <w:r w:rsidRPr="009F2503">
              <w:rPr>
                <w:b/>
                <w:bCs/>
                <w:color w:val="621B40"/>
                <w:sz w:val="16"/>
                <w:szCs w:val="16"/>
              </w:rPr>
              <w:fldChar w:fldCharType="end"/>
            </w:r>
            <w:r w:rsidRPr="009F2503">
              <w:rPr>
                <w:color w:val="621B40"/>
                <w:sz w:val="16"/>
                <w:szCs w:val="16"/>
              </w:rPr>
              <w:t xml:space="preserve"> of </w:t>
            </w:r>
            <w:r w:rsidRPr="009F2503">
              <w:rPr>
                <w:b/>
                <w:bCs/>
                <w:color w:val="621B40"/>
                <w:sz w:val="16"/>
                <w:szCs w:val="16"/>
              </w:rPr>
              <w:fldChar w:fldCharType="begin"/>
            </w:r>
            <w:r w:rsidRPr="009F2503">
              <w:rPr>
                <w:b/>
                <w:bCs/>
                <w:color w:val="621B40"/>
                <w:sz w:val="16"/>
                <w:szCs w:val="16"/>
              </w:rPr>
              <w:instrText xml:space="preserve"> NUMPAGES  </w:instrText>
            </w:r>
            <w:r w:rsidRPr="009F2503">
              <w:rPr>
                <w:b/>
                <w:bCs/>
                <w:color w:val="621B40"/>
                <w:sz w:val="16"/>
                <w:szCs w:val="16"/>
              </w:rPr>
              <w:fldChar w:fldCharType="separate"/>
            </w:r>
            <w:r w:rsidRPr="009F2503">
              <w:rPr>
                <w:b/>
                <w:bCs/>
                <w:noProof/>
                <w:color w:val="621B40"/>
                <w:sz w:val="16"/>
                <w:szCs w:val="16"/>
              </w:rPr>
              <w:t>2</w:t>
            </w:r>
            <w:r w:rsidRPr="009F2503">
              <w:rPr>
                <w:b/>
                <w:bCs/>
                <w:color w:val="621B40"/>
                <w:sz w:val="16"/>
                <w:szCs w:val="16"/>
              </w:rPr>
              <w:fldChar w:fldCharType="end"/>
            </w:r>
          </w:p>
        </w:sdtContent>
      </w:sdt>
    </w:sdtContent>
  </w:sdt>
  <w:p w14:paraId="0BD986FC" w14:textId="77777777" w:rsidR="007607D5" w:rsidRDefault="007607D5" w:rsidP="00556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07D04" w14:textId="77777777" w:rsidR="009C0C15" w:rsidRDefault="009C0C15" w:rsidP="0000042C">
      <w:pPr>
        <w:spacing w:after="0" w:line="240" w:lineRule="auto"/>
      </w:pPr>
      <w:r>
        <w:separator/>
      </w:r>
    </w:p>
  </w:footnote>
  <w:footnote w:type="continuationSeparator" w:id="0">
    <w:p w14:paraId="5947CB28" w14:textId="77777777" w:rsidR="009C0C15" w:rsidRDefault="009C0C15" w:rsidP="0000042C">
      <w:pPr>
        <w:spacing w:after="0" w:line="240" w:lineRule="auto"/>
      </w:pPr>
      <w:r>
        <w:continuationSeparator/>
      </w:r>
    </w:p>
  </w:footnote>
  <w:footnote w:type="continuationNotice" w:id="1">
    <w:p w14:paraId="4C94456F" w14:textId="77777777" w:rsidR="009C0C15" w:rsidRDefault="009C0C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4410"/>
      <w:gridCol w:w="2529"/>
    </w:tblGrid>
    <w:tr w:rsidR="007607D5" w:rsidRPr="0000042C" w14:paraId="134DBF8D" w14:textId="77777777" w:rsidTr="00376973">
      <w:tc>
        <w:tcPr>
          <w:tcW w:w="2700" w:type="dxa"/>
        </w:tcPr>
        <w:p w14:paraId="240D87DB" w14:textId="543A4E12" w:rsidR="007607D5" w:rsidRPr="0000042C" w:rsidRDefault="007607D5">
          <w:pPr>
            <w:pStyle w:val="Header"/>
            <w:rPr>
              <w:b/>
              <w:bCs/>
            </w:rPr>
          </w:pPr>
          <w:r>
            <w:rPr>
              <w:noProof/>
            </w:rPr>
            <w:drawing>
              <wp:inline distT="0" distB="0" distL="0" distR="0" wp14:anchorId="6C27A83D" wp14:editId="1DAD24A2">
                <wp:extent cx="894853" cy="48006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94853" cy="480060"/>
                        </a:xfrm>
                        <a:prstGeom prst="rect">
                          <a:avLst/>
                        </a:prstGeom>
                      </pic:spPr>
                    </pic:pic>
                  </a:graphicData>
                </a:graphic>
              </wp:inline>
            </w:drawing>
          </w:r>
        </w:p>
      </w:tc>
      <w:tc>
        <w:tcPr>
          <w:tcW w:w="4410" w:type="dxa"/>
        </w:tcPr>
        <w:p w14:paraId="3621A9A9" w14:textId="47D6028A" w:rsidR="007607D5" w:rsidRPr="00AA5CCD" w:rsidRDefault="007607D5" w:rsidP="0000042C">
          <w:pPr>
            <w:pStyle w:val="Header"/>
            <w:jc w:val="center"/>
            <w:rPr>
              <w:b/>
              <w:bCs/>
              <w:color w:val="621B40"/>
            </w:rPr>
          </w:pPr>
          <w:r w:rsidRPr="5904D6BD">
            <w:rPr>
              <w:b/>
              <w:bCs/>
              <w:color w:val="621B40"/>
            </w:rPr>
            <w:t>FINANCE AND EMPLOYMENT COMMITTEE</w:t>
          </w:r>
        </w:p>
      </w:tc>
      <w:tc>
        <w:tcPr>
          <w:tcW w:w="2529" w:type="dxa"/>
        </w:tcPr>
        <w:p w14:paraId="44768EB6" w14:textId="17A970D6" w:rsidR="007607D5" w:rsidRPr="00AA5CCD" w:rsidRDefault="007607D5" w:rsidP="0000042C">
          <w:pPr>
            <w:pStyle w:val="Header"/>
            <w:jc w:val="right"/>
            <w:rPr>
              <w:b/>
              <w:bCs/>
              <w:color w:val="621B40"/>
            </w:rPr>
          </w:pPr>
          <w:r w:rsidRPr="5904D6BD">
            <w:rPr>
              <w:b/>
              <w:bCs/>
              <w:color w:val="621B40"/>
            </w:rPr>
            <w:t>FEC/</w:t>
          </w:r>
          <w:r w:rsidR="006348E4">
            <w:rPr>
              <w:b/>
              <w:bCs/>
              <w:color w:val="621B40"/>
            </w:rPr>
            <w:t>4</w:t>
          </w:r>
          <w:r w:rsidRPr="5904D6BD">
            <w:rPr>
              <w:b/>
              <w:bCs/>
              <w:color w:val="621B40"/>
            </w:rPr>
            <w:t>/2</w:t>
          </w:r>
          <w:r w:rsidR="005C5AA9">
            <w:rPr>
              <w:b/>
              <w:bCs/>
              <w:color w:val="621B40"/>
            </w:rPr>
            <w:t>2</w:t>
          </w:r>
          <w:r w:rsidRPr="5904D6BD">
            <w:rPr>
              <w:b/>
              <w:bCs/>
              <w:color w:val="621B40"/>
            </w:rPr>
            <w:t>/M</w:t>
          </w:r>
        </w:p>
      </w:tc>
    </w:tr>
  </w:tbl>
  <w:p w14:paraId="28BA3920" w14:textId="77777777" w:rsidR="007607D5" w:rsidRDefault="00760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3A5B"/>
    <w:multiLevelType w:val="hybridMultilevel"/>
    <w:tmpl w:val="63A2B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66FB6"/>
    <w:multiLevelType w:val="hybridMultilevel"/>
    <w:tmpl w:val="F176E8B2"/>
    <w:lvl w:ilvl="0" w:tplc="9F90C9A0">
      <w:start w:val="1"/>
      <w:numFmt w:val="bullet"/>
      <w:lvlText w:val=""/>
      <w:lvlJc w:val="left"/>
      <w:pPr>
        <w:ind w:left="360" w:hanging="360"/>
      </w:pPr>
      <w:rPr>
        <w:rFonts w:ascii="Symbol" w:hAnsi="Symbol" w:hint="default"/>
      </w:rPr>
    </w:lvl>
    <w:lvl w:ilvl="1" w:tplc="78A24306">
      <w:start w:val="1"/>
      <w:numFmt w:val="bullet"/>
      <w:lvlText w:val="o"/>
      <w:lvlJc w:val="left"/>
      <w:pPr>
        <w:ind w:left="1080" w:hanging="360"/>
      </w:pPr>
      <w:rPr>
        <w:rFonts w:ascii="Courier New" w:hAnsi="Courier New" w:hint="default"/>
      </w:rPr>
    </w:lvl>
    <w:lvl w:ilvl="2" w:tplc="C4E4E7FA">
      <w:start w:val="1"/>
      <w:numFmt w:val="bullet"/>
      <w:lvlText w:val=""/>
      <w:lvlJc w:val="left"/>
      <w:pPr>
        <w:ind w:left="1800" w:hanging="360"/>
      </w:pPr>
      <w:rPr>
        <w:rFonts w:ascii="Wingdings" w:hAnsi="Wingdings" w:hint="default"/>
      </w:rPr>
    </w:lvl>
    <w:lvl w:ilvl="3" w:tplc="EE085968">
      <w:start w:val="1"/>
      <w:numFmt w:val="bullet"/>
      <w:lvlText w:val=""/>
      <w:lvlJc w:val="left"/>
      <w:pPr>
        <w:ind w:left="2520" w:hanging="360"/>
      </w:pPr>
      <w:rPr>
        <w:rFonts w:ascii="Symbol" w:hAnsi="Symbol" w:hint="default"/>
      </w:rPr>
    </w:lvl>
    <w:lvl w:ilvl="4" w:tplc="5F549F60">
      <w:start w:val="1"/>
      <w:numFmt w:val="bullet"/>
      <w:lvlText w:val="o"/>
      <w:lvlJc w:val="left"/>
      <w:pPr>
        <w:ind w:left="3240" w:hanging="360"/>
      </w:pPr>
      <w:rPr>
        <w:rFonts w:ascii="Courier New" w:hAnsi="Courier New" w:hint="default"/>
      </w:rPr>
    </w:lvl>
    <w:lvl w:ilvl="5" w:tplc="CA4A276E">
      <w:start w:val="1"/>
      <w:numFmt w:val="bullet"/>
      <w:lvlText w:val=""/>
      <w:lvlJc w:val="left"/>
      <w:pPr>
        <w:ind w:left="3960" w:hanging="360"/>
      </w:pPr>
      <w:rPr>
        <w:rFonts w:ascii="Wingdings" w:hAnsi="Wingdings" w:hint="default"/>
      </w:rPr>
    </w:lvl>
    <w:lvl w:ilvl="6" w:tplc="3168DF82">
      <w:start w:val="1"/>
      <w:numFmt w:val="bullet"/>
      <w:lvlText w:val=""/>
      <w:lvlJc w:val="left"/>
      <w:pPr>
        <w:ind w:left="4680" w:hanging="360"/>
      </w:pPr>
      <w:rPr>
        <w:rFonts w:ascii="Symbol" w:hAnsi="Symbol" w:hint="default"/>
      </w:rPr>
    </w:lvl>
    <w:lvl w:ilvl="7" w:tplc="0EC021AA">
      <w:start w:val="1"/>
      <w:numFmt w:val="bullet"/>
      <w:lvlText w:val="o"/>
      <w:lvlJc w:val="left"/>
      <w:pPr>
        <w:ind w:left="5400" w:hanging="360"/>
      </w:pPr>
      <w:rPr>
        <w:rFonts w:ascii="Courier New" w:hAnsi="Courier New" w:hint="default"/>
      </w:rPr>
    </w:lvl>
    <w:lvl w:ilvl="8" w:tplc="C6C278FC">
      <w:start w:val="1"/>
      <w:numFmt w:val="bullet"/>
      <w:lvlText w:val=""/>
      <w:lvlJc w:val="left"/>
      <w:pPr>
        <w:ind w:left="6120" w:hanging="360"/>
      </w:pPr>
      <w:rPr>
        <w:rFonts w:ascii="Wingdings" w:hAnsi="Wingdings" w:hint="default"/>
      </w:rPr>
    </w:lvl>
  </w:abstractNum>
  <w:abstractNum w:abstractNumId="2" w15:restartNumberingAfterBreak="0">
    <w:nsid w:val="20867493"/>
    <w:multiLevelType w:val="hybridMultilevel"/>
    <w:tmpl w:val="EA6CF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5A524A"/>
    <w:multiLevelType w:val="hybridMultilevel"/>
    <w:tmpl w:val="3D58A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3E6D5C"/>
    <w:multiLevelType w:val="hybridMultilevel"/>
    <w:tmpl w:val="0BC28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D3E93"/>
    <w:multiLevelType w:val="hybridMultilevel"/>
    <w:tmpl w:val="7B063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850520"/>
    <w:multiLevelType w:val="hybridMultilevel"/>
    <w:tmpl w:val="87AEC162"/>
    <w:lvl w:ilvl="0" w:tplc="0809000B">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FFD2015"/>
    <w:multiLevelType w:val="hybridMultilevel"/>
    <w:tmpl w:val="F2FE7C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954E04"/>
    <w:multiLevelType w:val="hybridMultilevel"/>
    <w:tmpl w:val="51A0D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3153F1"/>
    <w:multiLevelType w:val="hybridMultilevel"/>
    <w:tmpl w:val="66926E54"/>
    <w:lvl w:ilvl="0" w:tplc="FFFFFFFF">
      <w:start w:val="1"/>
      <w:numFmt w:val="decimal"/>
      <w:lvlText w:val="%1."/>
      <w:lvlJc w:val="left"/>
      <w:pPr>
        <w:ind w:left="720" w:hanging="360"/>
      </w:pPr>
    </w:lvl>
    <w:lvl w:ilvl="1" w:tplc="C4EC15AA">
      <w:start w:val="1"/>
      <w:numFmt w:val="bullet"/>
      <w:lvlText w:val="o"/>
      <w:lvlJc w:val="left"/>
      <w:pPr>
        <w:ind w:left="1440" w:hanging="360"/>
      </w:pPr>
      <w:rPr>
        <w:rFonts w:ascii="Courier New" w:hAnsi="Courier New" w:hint="default"/>
      </w:rPr>
    </w:lvl>
    <w:lvl w:ilvl="2" w:tplc="62D85276">
      <w:start w:val="1"/>
      <w:numFmt w:val="bullet"/>
      <w:lvlText w:val=""/>
      <w:lvlJc w:val="left"/>
      <w:pPr>
        <w:ind w:left="2160" w:hanging="360"/>
      </w:pPr>
      <w:rPr>
        <w:rFonts w:ascii="Wingdings" w:hAnsi="Wingdings" w:hint="default"/>
      </w:rPr>
    </w:lvl>
    <w:lvl w:ilvl="3" w:tplc="13CA88A2">
      <w:start w:val="1"/>
      <w:numFmt w:val="bullet"/>
      <w:lvlText w:val=""/>
      <w:lvlJc w:val="left"/>
      <w:pPr>
        <w:ind w:left="2880" w:hanging="360"/>
      </w:pPr>
      <w:rPr>
        <w:rFonts w:ascii="Symbol" w:hAnsi="Symbol" w:hint="default"/>
      </w:rPr>
    </w:lvl>
    <w:lvl w:ilvl="4" w:tplc="478AD46E">
      <w:start w:val="1"/>
      <w:numFmt w:val="bullet"/>
      <w:lvlText w:val="o"/>
      <w:lvlJc w:val="left"/>
      <w:pPr>
        <w:ind w:left="3600" w:hanging="360"/>
      </w:pPr>
      <w:rPr>
        <w:rFonts w:ascii="Courier New" w:hAnsi="Courier New" w:hint="default"/>
      </w:rPr>
    </w:lvl>
    <w:lvl w:ilvl="5" w:tplc="37CC1808">
      <w:start w:val="1"/>
      <w:numFmt w:val="bullet"/>
      <w:lvlText w:val=""/>
      <w:lvlJc w:val="left"/>
      <w:pPr>
        <w:ind w:left="4320" w:hanging="360"/>
      </w:pPr>
      <w:rPr>
        <w:rFonts w:ascii="Wingdings" w:hAnsi="Wingdings" w:hint="default"/>
      </w:rPr>
    </w:lvl>
    <w:lvl w:ilvl="6" w:tplc="606A2CCC">
      <w:start w:val="1"/>
      <w:numFmt w:val="bullet"/>
      <w:lvlText w:val=""/>
      <w:lvlJc w:val="left"/>
      <w:pPr>
        <w:ind w:left="5040" w:hanging="360"/>
      </w:pPr>
      <w:rPr>
        <w:rFonts w:ascii="Symbol" w:hAnsi="Symbol" w:hint="default"/>
      </w:rPr>
    </w:lvl>
    <w:lvl w:ilvl="7" w:tplc="11C2A332">
      <w:start w:val="1"/>
      <w:numFmt w:val="bullet"/>
      <w:lvlText w:val="o"/>
      <w:lvlJc w:val="left"/>
      <w:pPr>
        <w:ind w:left="5760" w:hanging="360"/>
      </w:pPr>
      <w:rPr>
        <w:rFonts w:ascii="Courier New" w:hAnsi="Courier New" w:hint="default"/>
      </w:rPr>
    </w:lvl>
    <w:lvl w:ilvl="8" w:tplc="2D048278">
      <w:start w:val="1"/>
      <w:numFmt w:val="bullet"/>
      <w:lvlText w:val=""/>
      <w:lvlJc w:val="left"/>
      <w:pPr>
        <w:ind w:left="6480" w:hanging="360"/>
      </w:pPr>
      <w:rPr>
        <w:rFonts w:ascii="Wingdings" w:hAnsi="Wingdings" w:hint="default"/>
      </w:rPr>
    </w:lvl>
  </w:abstractNum>
  <w:abstractNum w:abstractNumId="10" w15:restartNumberingAfterBreak="0">
    <w:nsid w:val="4A556094"/>
    <w:multiLevelType w:val="hybridMultilevel"/>
    <w:tmpl w:val="1E18D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AD032F"/>
    <w:multiLevelType w:val="hybridMultilevel"/>
    <w:tmpl w:val="912CC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458072F"/>
    <w:multiLevelType w:val="hybridMultilevel"/>
    <w:tmpl w:val="EFD0B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41605A"/>
    <w:multiLevelType w:val="hybridMultilevel"/>
    <w:tmpl w:val="2132E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C779BF"/>
    <w:multiLevelType w:val="hybridMultilevel"/>
    <w:tmpl w:val="AA8C6FBE"/>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5F14992"/>
    <w:multiLevelType w:val="hybridMultilevel"/>
    <w:tmpl w:val="754C5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3D643D"/>
    <w:multiLevelType w:val="hybridMultilevel"/>
    <w:tmpl w:val="882EC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0200"/>
    <w:multiLevelType w:val="hybridMultilevel"/>
    <w:tmpl w:val="DB7CD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81C6F"/>
    <w:multiLevelType w:val="hybridMultilevel"/>
    <w:tmpl w:val="F2D0ABD0"/>
    <w:lvl w:ilvl="0" w:tplc="D44AA9C8">
      <w:start w:val="1"/>
      <w:numFmt w:val="bullet"/>
      <w:lvlText w:val="•"/>
      <w:lvlJc w:val="left"/>
      <w:pPr>
        <w:tabs>
          <w:tab w:val="num" w:pos="720"/>
        </w:tabs>
        <w:ind w:left="720" w:hanging="360"/>
      </w:pPr>
      <w:rPr>
        <w:rFonts w:ascii="Arial" w:hAnsi="Arial" w:hint="default"/>
      </w:rPr>
    </w:lvl>
    <w:lvl w:ilvl="1" w:tplc="F85C68FE" w:tentative="1">
      <w:start w:val="1"/>
      <w:numFmt w:val="bullet"/>
      <w:lvlText w:val="•"/>
      <w:lvlJc w:val="left"/>
      <w:pPr>
        <w:tabs>
          <w:tab w:val="num" w:pos="1440"/>
        </w:tabs>
        <w:ind w:left="1440" w:hanging="360"/>
      </w:pPr>
      <w:rPr>
        <w:rFonts w:ascii="Arial" w:hAnsi="Arial" w:hint="default"/>
      </w:rPr>
    </w:lvl>
    <w:lvl w:ilvl="2" w:tplc="3F5ADF3E" w:tentative="1">
      <w:start w:val="1"/>
      <w:numFmt w:val="bullet"/>
      <w:lvlText w:val="•"/>
      <w:lvlJc w:val="left"/>
      <w:pPr>
        <w:tabs>
          <w:tab w:val="num" w:pos="2160"/>
        </w:tabs>
        <w:ind w:left="2160" w:hanging="360"/>
      </w:pPr>
      <w:rPr>
        <w:rFonts w:ascii="Arial" w:hAnsi="Arial" w:hint="default"/>
      </w:rPr>
    </w:lvl>
    <w:lvl w:ilvl="3" w:tplc="05BC44F6" w:tentative="1">
      <w:start w:val="1"/>
      <w:numFmt w:val="bullet"/>
      <w:lvlText w:val="•"/>
      <w:lvlJc w:val="left"/>
      <w:pPr>
        <w:tabs>
          <w:tab w:val="num" w:pos="2880"/>
        </w:tabs>
        <w:ind w:left="2880" w:hanging="360"/>
      </w:pPr>
      <w:rPr>
        <w:rFonts w:ascii="Arial" w:hAnsi="Arial" w:hint="default"/>
      </w:rPr>
    </w:lvl>
    <w:lvl w:ilvl="4" w:tplc="26C0FE2A" w:tentative="1">
      <w:start w:val="1"/>
      <w:numFmt w:val="bullet"/>
      <w:lvlText w:val="•"/>
      <w:lvlJc w:val="left"/>
      <w:pPr>
        <w:tabs>
          <w:tab w:val="num" w:pos="3600"/>
        </w:tabs>
        <w:ind w:left="3600" w:hanging="360"/>
      </w:pPr>
      <w:rPr>
        <w:rFonts w:ascii="Arial" w:hAnsi="Arial" w:hint="default"/>
      </w:rPr>
    </w:lvl>
    <w:lvl w:ilvl="5" w:tplc="20804EDA" w:tentative="1">
      <w:start w:val="1"/>
      <w:numFmt w:val="bullet"/>
      <w:lvlText w:val="•"/>
      <w:lvlJc w:val="left"/>
      <w:pPr>
        <w:tabs>
          <w:tab w:val="num" w:pos="4320"/>
        </w:tabs>
        <w:ind w:left="4320" w:hanging="360"/>
      </w:pPr>
      <w:rPr>
        <w:rFonts w:ascii="Arial" w:hAnsi="Arial" w:hint="default"/>
      </w:rPr>
    </w:lvl>
    <w:lvl w:ilvl="6" w:tplc="8AA0A8D2" w:tentative="1">
      <w:start w:val="1"/>
      <w:numFmt w:val="bullet"/>
      <w:lvlText w:val="•"/>
      <w:lvlJc w:val="left"/>
      <w:pPr>
        <w:tabs>
          <w:tab w:val="num" w:pos="5040"/>
        </w:tabs>
        <w:ind w:left="5040" w:hanging="360"/>
      </w:pPr>
      <w:rPr>
        <w:rFonts w:ascii="Arial" w:hAnsi="Arial" w:hint="default"/>
      </w:rPr>
    </w:lvl>
    <w:lvl w:ilvl="7" w:tplc="08C4BCCC" w:tentative="1">
      <w:start w:val="1"/>
      <w:numFmt w:val="bullet"/>
      <w:lvlText w:val="•"/>
      <w:lvlJc w:val="left"/>
      <w:pPr>
        <w:tabs>
          <w:tab w:val="num" w:pos="5760"/>
        </w:tabs>
        <w:ind w:left="5760" w:hanging="360"/>
      </w:pPr>
      <w:rPr>
        <w:rFonts w:ascii="Arial" w:hAnsi="Arial" w:hint="default"/>
      </w:rPr>
    </w:lvl>
    <w:lvl w:ilvl="8" w:tplc="5A6660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C12865"/>
    <w:multiLevelType w:val="hybridMultilevel"/>
    <w:tmpl w:val="B9BE5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2129451">
    <w:abstractNumId w:val="2"/>
  </w:num>
  <w:num w:numId="2" w16cid:durableId="66539323">
    <w:abstractNumId w:val="13"/>
  </w:num>
  <w:num w:numId="3" w16cid:durableId="2108236601">
    <w:abstractNumId w:val="12"/>
  </w:num>
  <w:num w:numId="4" w16cid:durableId="1269579652">
    <w:abstractNumId w:val="19"/>
  </w:num>
  <w:num w:numId="5" w16cid:durableId="1011569464">
    <w:abstractNumId w:val="9"/>
  </w:num>
  <w:num w:numId="6" w16cid:durableId="1506826696">
    <w:abstractNumId w:val="18"/>
  </w:num>
  <w:num w:numId="7" w16cid:durableId="1500998162">
    <w:abstractNumId w:val="7"/>
  </w:num>
  <w:num w:numId="8" w16cid:durableId="386685960">
    <w:abstractNumId w:val="3"/>
  </w:num>
  <w:num w:numId="9" w16cid:durableId="849638226">
    <w:abstractNumId w:val="16"/>
  </w:num>
  <w:num w:numId="10" w16cid:durableId="1156536588">
    <w:abstractNumId w:val="14"/>
  </w:num>
  <w:num w:numId="11" w16cid:durableId="1417165170">
    <w:abstractNumId w:val="6"/>
  </w:num>
  <w:num w:numId="12" w16cid:durableId="1253274370">
    <w:abstractNumId w:val="15"/>
  </w:num>
  <w:num w:numId="13" w16cid:durableId="522061531">
    <w:abstractNumId w:val="5"/>
  </w:num>
  <w:num w:numId="14" w16cid:durableId="1228684735">
    <w:abstractNumId w:val="0"/>
  </w:num>
  <w:num w:numId="15" w16cid:durableId="1788505950">
    <w:abstractNumId w:val="8"/>
  </w:num>
  <w:num w:numId="16" w16cid:durableId="428702405">
    <w:abstractNumId w:val="4"/>
  </w:num>
  <w:num w:numId="17" w16cid:durableId="788360148">
    <w:abstractNumId w:val="17"/>
  </w:num>
  <w:num w:numId="18" w16cid:durableId="1101989756">
    <w:abstractNumId w:val="10"/>
  </w:num>
  <w:num w:numId="19" w16cid:durableId="2104640838">
    <w:abstractNumId w:val="11"/>
  </w:num>
  <w:num w:numId="20" w16cid:durableId="160989193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SMievZ8RGYhawXAGB4u46Cc5l5tIqdt9ArzYDtkG6edCV9SwGJBqQAT1qVKCh/IOGZmqfCdb7B4HDuvgPf0+A==" w:salt="gYueDIjifOw8Yh7FJno6C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0766"/>
    <w:rsid w:val="00000BC2"/>
    <w:rsid w:val="00000E1B"/>
    <w:rsid w:val="00003411"/>
    <w:rsid w:val="00004309"/>
    <w:rsid w:val="00005630"/>
    <w:rsid w:val="000062DE"/>
    <w:rsid w:val="000071F3"/>
    <w:rsid w:val="000073E1"/>
    <w:rsid w:val="00010732"/>
    <w:rsid w:val="000109FB"/>
    <w:rsid w:val="0001362A"/>
    <w:rsid w:val="00014F8D"/>
    <w:rsid w:val="000204D3"/>
    <w:rsid w:val="00021AAC"/>
    <w:rsid w:val="00023F45"/>
    <w:rsid w:val="0002663B"/>
    <w:rsid w:val="000277A3"/>
    <w:rsid w:val="00027850"/>
    <w:rsid w:val="000279C2"/>
    <w:rsid w:val="00027A58"/>
    <w:rsid w:val="00031754"/>
    <w:rsid w:val="000319ED"/>
    <w:rsid w:val="00031A9E"/>
    <w:rsid w:val="00031E40"/>
    <w:rsid w:val="0003314D"/>
    <w:rsid w:val="0003344A"/>
    <w:rsid w:val="00034613"/>
    <w:rsid w:val="00040310"/>
    <w:rsid w:val="000404D9"/>
    <w:rsid w:val="0004060A"/>
    <w:rsid w:val="00040960"/>
    <w:rsid w:val="00042648"/>
    <w:rsid w:val="0004713B"/>
    <w:rsid w:val="00050F86"/>
    <w:rsid w:val="00053087"/>
    <w:rsid w:val="00053748"/>
    <w:rsid w:val="00055824"/>
    <w:rsid w:val="000565F0"/>
    <w:rsid w:val="00060A70"/>
    <w:rsid w:val="00061E9B"/>
    <w:rsid w:val="0006401C"/>
    <w:rsid w:val="0006588C"/>
    <w:rsid w:val="00067FFC"/>
    <w:rsid w:val="00070BA2"/>
    <w:rsid w:val="00072783"/>
    <w:rsid w:val="00073676"/>
    <w:rsid w:val="00075D03"/>
    <w:rsid w:val="00075D4E"/>
    <w:rsid w:val="00077381"/>
    <w:rsid w:val="00082903"/>
    <w:rsid w:val="00084167"/>
    <w:rsid w:val="0008486E"/>
    <w:rsid w:val="00084B72"/>
    <w:rsid w:val="00085FA3"/>
    <w:rsid w:val="00086852"/>
    <w:rsid w:val="000877D8"/>
    <w:rsid w:val="00090BB0"/>
    <w:rsid w:val="00092DC5"/>
    <w:rsid w:val="00093FC4"/>
    <w:rsid w:val="00095087"/>
    <w:rsid w:val="0009660C"/>
    <w:rsid w:val="00097582"/>
    <w:rsid w:val="000A10B3"/>
    <w:rsid w:val="000A18B7"/>
    <w:rsid w:val="000A495D"/>
    <w:rsid w:val="000A5EC4"/>
    <w:rsid w:val="000A6C3B"/>
    <w:rsid w:val="000B170B"/>
    <w:rsid w:val="000B17F8"/>
    <w:rsid w:val="000B396F"/>
    <w:rsid w:val="000B3CF2"/>
    <w:rsid w:val="000B3F82"/>
    <w:rsid w:val="000B4DCC"/>
    <w:rsid w:val="000B6239"/>
    <w:rsid w:val="000B7997"/>
    <w:rsid w:val="000B7DED"/>
    <w:rsid w:val="000C15C5"/>
    <w:rsid w:val="000C1F22"/>
    <w:rsid w:val="000C281B"/>
    <w:rsid w:val="000C323F"/>
    <w:rsid w:val="000C5E69"/>
    <w:rsid w:val="000C75A2"/>
    <w:rsid w:val="000D19E8"/>
    <w:rsid w:val="000D2C38"/>
    <w:rsid w:val="000D2D8E"/>
    <w:rsid w:val="000D37FE"/>
    <w:rsid w:val="000D6CF9"/>
    <w:rsid w:val="000E0676"/>
    <w:rsid w:val="000E14D2"/>
    <w:rsid w:val="000E21DA"/>
    <w:rsid w:val="000E3FC8"/>
    <w:rsid w:val="000E63C3"/>
    <w:rsid w:val="000F1E25"/>
    <w:rsid w:val="000F32C7"/>
    <w:rsid w:val="000F39CA"/>
    <w:rsid w:val="00102409"/>
    <w:rsid w:val="0010255F"/>
    <w:rsid w:val="001037B4"/>
    <w:rsid w:val="00103A1F"/>
    <w:rsid w:val="001054F4"/>
    <w:rsid w:val="00106407"/>
    <w:rsid w:val="00107AA2"/>
    <w:rsid w:val="00115BD8"/>
    <w:rsid w:val="00115FEF"/>
    <w:rsid w:val="001160FD"/>
    <w:rsid w:val="0011660E"/>
    <w:rsid w:val="001167AD"/>
    <w:rsid w:val="0012002E"/>
    <w:rsid w:val="00122C89"/>
    <w:rsid w:val="00130451"/>
    <w:rsid w:val="00130AB7"/>
    <w:rsid w:val="00132703"/>
    <w:rsid w:val="00132D63"/>
    <w:rsid w:val="001331DD"/>
    <w:rsid w:val="00133F37"/>
    <w:rsid w:val="00134D7D"/>
    <w:rsid w:val="00136577"/>
    <w:rsid w:val="0013671F"/>
    <w:rsid w:val="001404AA"/>
    <w:rsid w:val="001409A7"/>
    <w:rsid w:val="00141353"/>
    <w:rsid w:val="00141E0F"/>
    <w:rsid w:val="001432E1"/>
    <w:rsid w:val="001454D0"/>
    <w:rsid w:val="001476BC"/>
    <w:rsid w:val="0014780A"/>
    <w:rsid w:val="0015088E"/>
    <w:rsid w:val="00150B10"/>
    <w:rsid w:val="001520A2"/>
    <w:rsid w:val="001529CA"/>
    <w:rsid w:val="00153999"/>
    <w:rsid w:val="00153AF3"/>
    <w:rsid w:val="00154D10"/>
    <w:rsid w:val="001602D7"/>
    <w:rsid w:val="00160919"/>
    <w:rsid w:val="00160974"/>
    <w:rsid w:val="00160CB4"/>
    <w:rsid w:val="00161A09"/>
    <w:rsid w:val="001647C0"/>
    <w:rsid w:val="0016654B"/>
    <w:rsid w:val="00166786"/>
    <w:rsid w:val="001675A5"/>
    <w:rsid w:val="00172708"/>
    <w:rsid w:val="00175FE6"/>
    <w:rsid w:val="00177CC4"/>
    <w:rsid w:val="00182234"/>
    <w:rsid w:val="0018330A"/>
    <w:rsid w:val="00183610"/>
    <w:rsid w:val="0018416D"/>
    <w:rsid w:val="00184306"/>
    <w:rsid w:val="00184370"/>
    <w:rsid w:val="001845B3"/>
    <w:rsid w:val="001910F6"/>
    <w:rsid w:val="00192C74"/>
    <w:rsid w:val="00193D83"/>
    <w:rsid w:val="00194321"/>
    <w:rsid w:val="0019569A"/>
    <w:rsid w:val="00196E72"/>
    <w:rsid w:val="00197132"/>
    <w:rsid w:val="0019767B"/>
    <w:rsid w:val="001A03C7"/>
    <w:rsid w:val="001A383A"/>
    <w:rsid w:val="001A546F"/>
    <w:rsid w:val="001A61F0"/>
    <w:rsid w:val="001A6509"/>
    <w:rsid w:val="001A65DD"/>
    <w:rsid w:val="001A7ED4"/>
    <w:rsid w:val="001B0263"/>
    <w:rsid w:val="001B046C"/>
    <w:rsid w:val="001B0F30"/>
    <w:rsid w:val="001B2A35"/>
    <w:rsid w:val="001B4224"/>
    <w:rsid w:val="001B4756"/>
    <w:rsid w:val="001B6297"/>
    <w:rsid w:val="001C066E"/>
    <w:rsid w:val="001C0670"/>
    <w:rsid w:val="001C0741"/>
    <w:rsid w:val="001C145F"/>
    <w:rsid w:val="001C1733"/>
    <w:rsid w:val="001C2BE6"/>
    <w:rsid w:val="001C4180"/>
    <w:rsid w:val="001C474E"/>
    <w:rsid w:val="001C491E"/>
    <w:rsid w:val="001C5C27"/>
    <w:rsid w:val="001C608F"/>
    <w:rsid w:val="001C613C"/>
    <w:rsid w:val="001D040D"/>
    <w:rsid w:val="001D4780"/>
    <w:rsid w:val="001D67AE"/>
    <w:rsid w:val="001D6D07"/>
    <w:rsid w:val="001D7495"/>
    <w:rsid w:val="001E0C83"/>
    <w:rsid w:val="001E214A"/>
    <w:rsid w:val="001E3A75"/>
    <w:rsid w:val="001E60D3"/>
    <w:rsid w:val="001F0D80"/>
    <w:rsid w:val="001F1B33"/>
    <w:rsid w:val="001F4713"/>
    <w:rsid w:val="001F4E48"/>
    <w:rsid w:val="001F7AFC"/>
    <w:rsid w:val="00203EBC"/>
    <w:rsid w:val="00205C15"/>
    <w:rsid w:val="00207006"/>
    <w:rsid w:val="002070F9"/>
    <w:rsid w:val="00207D53"/>
    <w:rsid w:val="00211831"/>
    <w:rsid w:val="00211A60"/>
    <w:rsid w:val="0021249C"/>
    <w:rsid w:val="00214CF2"/>
    <w:rsid w:val="00215B0A"/>
    <w:rsid w:val="002270D6"/>
    <w:rsid w:val="002313F2"/>
    <w:rsid w:val="00232BF1"/>
    <w:rsid w:val="002341B3"/>
    <w:rsid w:val="00234426"/>
    <w:rsid w:val="00235BC0"/>
    <w:rsid w:val="00236432"/>
    <w:rsid w:val="002374B3"/>
    <w:rsid w:val="002403AA"/>
    <w:rsid w:val="0024250D"/>
    <w:rsid w:val="00243A06"/>
    <w:rsid w:val="00245269"/>
    <w:rsid w:val="0024750D"/>
    <w:rsid w:val="00247EFC"/>
    <w:rsid w:val="002505B7"/>
    <w:rsid w:val="00252BBE"/>
    <w:rsid w:val="00252DD9"/>
    <w:rsid w:val="002541B1"/>
    <w:rsid w:val="00257C12"/>
    <w:rsid w:val="00260A35"/>
    <w:rsid w:val="00261A18"/>
    <w:rsid w:val="00263EAB"/>
    <w:rsid w:val="00264A7B"/>
    <w:rsid w:val="00266D21"/>
    <w:rsid w:val="00266E55"/>
    <w:rsid w:val="002673CF"/>
    <w:rsid w:val="00267FA8"/>
    <w:rsid w:val="00267FB8"/>
    <w:rsid w:val="00270618"/>
    <w:rsid w:val="00275A93"/>
    <w:rsid w:val="00276FF7"/>
    <w:rsid w:val="002809E2"/>
    <w:rsid w:val="00281F7A"/>
    <w:rsid w:val="0028223E"/>
    <w:rsid w:val="00284E2E"/>
    <w:rsid w:val="00287EFB"/>
    <w:rsid w:val="00290061"/>
    <w:rsid w:val="00290C29"/>
    <w:rsid w:val="002916B7"/>
    <w:rsid w:val="00291ABE"/>
    <w:rsid w:val="00292833"/>
    <w:rsid w:val="00292E32"/>
    <w:rsid w:val="00293B8B"/>
    <w:rsid w:val="00293FE7"/>
    <w:rsid w:val="0029573E"/>
    <w:rsid w:val="002958DB"/>
    <w:rsid w:val="00295949"/>
    <w:rsid w:val="00295C87"/>
    <w:rsid w:val="00295E4B"/>
    <w:rsid w:val="00297DB7"/>
    <w:rsid w:val="002A1096"/>
    <w:rsid w:val="002A148E"/>
    <w:rsid w:val="002A2A87"/>
    <w:rsid w:val="002A3508"/>
    <w:rsid w:val="002A561A"/>
    <w:rsid w:val="002A56D4"/>
    <w:rsid w:val="002A5CC0"/>
    <w:rsid w:val="002A6F5D"/>
    <w:rsid w:val="002A776C"/>
    <w:rsid w:val="002A781B"/>
    <w:rsid w:val="002B0000"/>
    <w:rsid w:val="002B47B9"/>
    <w:rsid w:val="002B6A4B"/>
    <w:rsid w:val="002C1359"/>
    <w:rsid w:val="002C37B2"/>
    <w:rsid w:val="002C4C01"/>
    <w:rsid w:val="002C64B3"/>
    <w:rsid w:val="002C6A4D"/>
    <w:rsid w:val="002D0951"/>
    <w:rsid w:val="002D0F98"/>
    <w:rsid w:val="002D215C"/>
    <w:rsid w:val="002D2982"/>
    <w:rsid w:val="002D400C"/>
    <w:rsid w:val="002D534A"/>
    <w:rsid w:val="002D7F97"/>
    <w:rsid w:val="002E0E0B"/>
    <w:rsid w:val="002E182C"/>
    <w:rsid w:val="002E24FF"/>
    <w:rsid w:val="002E2697"/>
    <w:rsid w:val="002E535D"/>
    <w:rsid w:val="002E537B"/>
    <w:rsid w:val="002E545A"/>
    <w:rsid w:val="002F0626"/>
    <w:rsid w:val="002F0A83"/>
    <w:rsid w:val="002F1E0F"/>
    <w:rsid w:val="002F22A3"/>
    <w:rsid w:val="002F28C3"/>
    <w:rsid w:val="002F3E7F"/>
    <w:rsid w:val="002F47FE"/>
    <w:rsid w:val="002F55E7"/>
    <w:rsid w:val="002F5AA8"/>
    <w:rsid w:val="002F64C2"/>
    <w:rsid w:val="002F78F0"/>
    <w:rsid w:val="003004B5"/>
    <w:rsid w:val="00302BD8"/>
    <w:rsid w:val="003049BF"/>
    <w:rsid w:val="00304A78"/>
    <w:rsid w:val="00304E42"/>
    <w:rsid w:val="003109FA"/>
    <w:rsid w:val="00316859"/>
    <w:rsid w:val="00317E4F"/>
    <w:rsid w:val="0032077F"/>
    <w:rsid w:val="003207D0"/>
    <w:rsid w:val="00320819"/>
    <w:rsid w:val="00321174"/>
    <w:rsid w:val="0032239F"/>
    <w:rsid w:val="003223CE"/>
    <w:rsid w:val="00322FDA"/>
    <w:rsid w:val="003235C1"/>
    <w:rsid w:val="0032374E"/>
    <w:rsid w:val="00323E67"/>
    <w:rsid w:val="003262BA"/>
    <w:rsid w:val="00326598"/>
    <w:rsid w:val="00326C35"/>
    <w:rsid w:val="00326F3D"/>
    <w:rsid w:val="0032781A"/>
    <w:rsid w:val="00327A4F"/>
    <w:rsid w:val="00330D92"/>
    <w:rsid w:val="00332A97"/>
    <w:rsid w:val="00332BE0"/>
    <w:rsid w:val="0033303B"/>
    <w:rsid w:val="003331FF"/>
    <w:rsid w:val="003340A1"/>
    <w:rsid w:val="003345D9"/>
    <w:rsid w:val="00334F1C"/>
    <w:rsid w:val="0033602E"/>
    <w:rsid w:val="003361E8"/>
    <w:rsid w:val="00336333"/>
    <w:rsid w:val="00337DA0"/>
    <w:rsid w:val="003409A6"/>
    <w:rsid w:val="00341FE1"/>
    <w:rsid w:val="0034288F"/>
    <w:rsid w:val="00342DEE"/>
    <w:rsid w:val="00343566"/>
    <w:rsid w:val="00343D2C"/>
    <w:rsid w:val="00343F0F"/>
    <w:rsid w:val="00344C30"/>
    <w:rsid w:val="00346176"/>
    <w:rsid w:val="0034637C"/>
    <w:rsid w:val="00347052"/>
    <w:rsid w:val="00350FC9"/>
    <w:rsid w:val="003523BF"/>
    <w:rsid w:val="0035316B"/>
    <w:rsid w:val="00353DC0"/>
    <w:rsid w:val="00353F2A"/>
    <w:rsid w:val="00354029"/>
    <w:rsid w:val="00355C38"/>
    <w:rsid w:val="0035629C"/>
    <w:rsid w:val="00356763"/>
    <w:rsid w:val="00356790"/>
    <w:rsid w:val="00357374"/>
    <w:rsid w:val="00361A75"/>
    <w:rsid w:val="003639B6"/>
    <w:rsid w:val="00363DB5"/>
    <w:rsid w:val="00365462"/>
    <w:rsid w:val="00365C71"/>
    <w:rsid w:val="00367B62"/>
    <w:rsid w:val="00367BDC"/>
    <w:rsid w:val="003701D2"/>
    <w:rsid w:val="00371566"/>
    <w:rsid w:val="00373170"/>
    <w:rsid w:val="00374ECF"/>
    <w:rsid w:val="00376973"/>
    <w:rsid w:val="00376A76"/>
    <w:rsid w:val="00377445"/>
    <w:rsid w:val="00380C44"/>
    <w:rsid w:val="003820F0"/>
    <w:rsid w:val="00383433"/>
    <w:rsid w:val="003845CA"/>
    <w:rsid w:val="00384647"/>
    <w:rsid w:val="00384716"/>
    <w:rsid w:val="003852DB"/>
    <w:rsid w:val="00386099"/>
    <w:rsid w:val="00386C7A"/>
    <w:rsid w:val="00386D83"/>
    <w:rsid w:val="003875E0"/>
    <w:rsid w:val="00391264"/>
    <w:rsid w:val="00392541"/>
    <w:rsid w:val="003925C0"/>
    <w:rsid w:val="00393E80"/>
    <w:rsid w:val="0039415B"/>
    <w:rsid w:val="003945F7"/>
    <w:rsid w:val="00394B7E"/>
    <w:rsid w:val="00394BD1"/>
    <w:rsid w:val="00395123"/>
    <w:rsid w:val="003964A1"/>
    <w:rsid w:val="003972C1"/>
    <w:rsid w:val="00397440"/>
    <w:rsid w:val="003A0E4E"/>
    <w:rsid w:val="003A1DE0"/>
    <w:rsid w:val="003A3179"/>
    <w:rsid w:val="003A391E"/>
    <w:rsid w:val="003A3BDB"/>
    <w:rsid w:val="003A5FEA"/>
    <w:rsid w:val="003A654B"/>
    <w:rsid w:val="003A6EAD"/>
    <w:rsid w:val="003B0606"/>
    <w:rsid w:val="003B07E9"/>
    <w:rsid w:val="003B104A"/>
    <w:rsid w:val="003B1419"/>
    <w:rsid w:val="003B1828"/>
    <w:rsid w:val="003B340B"/>
    <w:rsid w:val="003B4314"/>
    <w:rsid w:val="003B43A4"/>
    <w:rsid w:val="003B44D0"/>
    <w:rsid w:val="003B53F5"/>
    <w:rsid w:val="003C0369"/>
    <w:rsid w:val="003C21D5"/>
    <w:rsid w:val="003C3646"/>
    <w:rsid w:val="003C3EDC"/>
    <w:rsid w:val="003C55C9"/>
    <w:rsid w:val="003C63E3"/>
    <w:rsid w:val="003D0405"/>
    <w:rsid w:val="003D1713"/>
    <w:rsid w:val="003D1AE7"/>
    <w:rsid w:val="003D1D03"/>
    <w:rsid w:val="003D2258"/>
    <w:rsid w:val="003D2834"/>
    <w:rsid w:val="003D2D8F"/>
    <w:rsid w:val="003D2FE4"/>
    <w:rsid w:val="003D378A"/>
    <w:rsid w:val="003D3BC8"/>
    <w:rsid w:val="003D3E50"/>
    <w:rsid w:val="003D6EFE"/>
    <w:rsid w:val="003D70E6"/>
    <w:rsid w:val="003D7E9B"/>
    <w:rsid w:val="003E1215"/>
    <w:rsid w:val="003E18F2"/>
    <w:rsid w:val="003E253C"/>
    <w:rsid w:val="003E39DA"/>
    <w:rsid w:val="003E5C00"/>
    <w:rsid w:val="003E5C5E"/>
    <w:rsid w:val="003F01FF"/>
    <w:rsid w:val="003F0213"/>
    <w:rsid w:val="003F560E"/>
    <w:rsid w:val="003F669D"/>
    <w:rsid w:val="003F6DEB"/>
    <w:rsid w:val="00400812"/>
    <w:rsid w:val="0040304D"/>
    <w:rsid w:val="00403CB0"/>
    <w:rsid w:val="00404485"/>
    <w:rsid w:val="00404A4D"/>
    <w:rsid w:val="00404A97"/>
    <w:rsid w:val="00404BC5"/>
    <w:rsid w:val="004057EB"/>
    <w:rsid w:val="004108A9"/>
    <w:rsid w:val="004108F3"/>
    <w:rsid w:val="00412F9A"/>
    <w:rsid w:val="00413414"/>
    <w:rsid w:val="00414EF8"/>
    <w:rsid w:val="00415EF0"/>
    <w:rsid w:val="004166C8"/>
    <w:rsid w:val="00421F32"/>
    <w:rsid w:val="004247FB"/>
    <w:rsid w:val="00426BF2"/>
    <w:rsid w:val="0043458A"/>
    <w:rsid w:val="0043525B"/>
    <w:rsid w:val="00440383"/>
    <w:rsid w:val="00440911"/>
    <w:rsid w:val="0044168D"/>
    <w:rsid w:val="00442931"/>
    <w:rsid w:val="00443775"/>
    <w:rsid w:val="00446123"/>
    <w:rsid w:val="00447444"/>
    <w:rsid w:val="00450CED"/>
    <w:rsid w:val="0045208C"/>
    <w:rsid w:val="00455172"/>
    <w:rsid w:val="00456FF3"/>
    <w:rsid w:val="0046049E"/>
    <w:rsid w:val="004604A4"/>
    <w:rsid w:val="004620F5"/>
    <w:rsid w:val="0046255C"/>
    <w:rsid w:val="00462C6D"/>
    <w:rsid w:val="004638BF"/>
    <w:rsid w:val="00464DB8"/>
    <w:rsid w:val="00466310"/>
    <w:rsid w:val="004716C8"/>
    <w:rsid w:val="00472422"/>
    <w:rsid w:val="0047258D"/>
    <w:rsid w:val="00474226"/>
    <w:rsid w:val="0047516D"/>
    <w:rsid w:val="00475373"/>
    <w:rsid w:val="00477C93"/>
    <w:rsid w:val="00482639"/>
    <w:rsid w:val="00482C4C"/>
    <w:rsid w:val="00484C27"/>
    <w:rsid w:val="004852E6"/>
    <w:rsid w:val="004859D9"/>
    <w:rsid w:val="004862A9"/>
    <w:rsid w:val="004866F8"/>
    <w:rsid w:val="00490297"/>
    <w:rsid w:val="004910A2"/>
    <w:rsid w:val="00492943"/>
    <w:rsid w:val="00492D04"/>
    <w:rsid w:val="00492DFD"/>
    <w:rsid w:val="00493768"/>
    <w:rsid w:val="00494AD4"/>
    <w:rsid w:val="00495CCA"/>
    <w:rsid w:val="004964CA"/>
    <w:rsid w:val="004A2CCB"/>
    <w:rsid w:val="004A43BA"/>
    <w:rsid w:val="004A45F3"/>
    <w:rsid w:val="004A7FCB"/>
    <w:rsid w:val="004B26D4"/>
    <w:rsid w:val="004B39A7"/>
    <w:rsid w:val="004B4A7D"/>
    <w:rsid w:val="004B693B"/>
    <w:rsid w:val="004B7354"/>
    <w:rsid w:val="004B7A40"/>
    <w:rsid w:val="004C2602"/>
    <w:rsid w:val="004C5566"/>
    <w:rsid w:val="004C5725"/>
    <w:rsid w:val="004C6A44"/>
    <w:rsid w:val="004C6AE5"/>
    <w:rsid w:val="004D0B41"/>
    <w:rsid w:val="004D4903"/>
    <w:rsid w:val="004E1C2B"/>
    <w:rsid w:val="004E2C91"/>
    <w:rsid w:val="004E3770"/>
    <w:rsid w:val="004E3D96"/>
    <w:rsid w:val="004E424E"/>
    <w:rsid w:val="004E4C61"/>
    <w:rsid w:val="004E651F"/>
    <w:rsid w:val="004E658F"/>
    <w:rsid w:val="004E6BE1"/>
    <w:rsid w:val="004E7B45"/>
    <w:rsid w:val="004E7DBB"/>
    <w:rsid w:val="004F1863"/>
    <w:rsid w:val="004F2262"/>
    <w:rsid w:val="004F361A"/>
    <w:rsid w:val="004F3BFC"/>
    <w:rsid w:val="004F4281"/>
    <w:rsid w:val="004F42EB"/>
    <w:rsid w:val="004F502A"/>
    <w:rsid w:val="00504797"/>
    <w:rsid w:val="00504B4E"/>
    <w:rsid w:val="00505577"/>
    <w:rsid w:val="00505661"/>
    <w:rsid w:val="00506A0C"/>
    <w:rsid w:val="00506A94"/>
    <w:rsid w:val="00512284"/>
    <w:rsid w:val="005130C3"/>
    <w:rsid w:val="005134DA"/>
    <w:rsid w:val="00515712"/>
    <w:rsid w:val="005166E4"/>
    <w:rsid w:val="00517EC1"/>
    <w:rsid w:val="005229B9"/>
    <w:rsid w:val="00525446"/>
    <w:rsid w:val="005264A3"/>
    <w:rsid w:val="005268E7"/>
    <w:rsid w:val="00530833"/>
    <w:rsid w:val="0053249E"/>
    <w:rsid w:val="00532956"/>
    <w:rsid w:val="0053496F"/>
    <w:rsid w:val="00534BA5"/>
    <w:rsid w:val="00535317"/>
    <w:rsid w:val="0053670A"/>
    <w:rsid w:val="00537276"/>
    <w:rsid w:val="00543F6A"/>
    <w:rsid w:val="00545391"/>
    <w:rsid w:val="00545409"/>
    <w:rsid w:val="0055033E"/>
    <w:rsid w:val="00550E93"/>
    <w:rsid w:val="00551B47"/>
    <w:rsid w:val="00552790"/>
    <w:rsid w:val="0055355A"/>
    <w:rsid w:val="005547C9"/>
    <w:rsid w:val="00554C8D"/>
    <w:rsid w:val="00556684"/>
    <w:rsid w:val="005566E3"/>
    <w:rsid w:val="00557C15"/>
    <w:rsid w:val="0056030E"/>
    <w:rsid w:val="005608C4"/>
    <w:rsid w:val="0056253F"/>
    <w:rsid w:val="00564FBD"/>
    <w:rsid w:val="00566716"/>
    <w:rsid w:val="00566CA0"/>
    <w:rsid w:val="005670FF"/>
    <w:rsid w:val="005677F8"/>
    <w:rsid w:val="0057003A"/>
    <w:rsid w:val="00570042"/>
    <w:rsid w:val="00570C82"/>
    <w:rsid w:val="00573F8E"/>
    <w:rsid w:val="005742A7"/>
    <w:rsid w:val="00576228"/>
    <w:rsid w:val="00580093"/>
    <w:rsid w:val="00582B21"/>
    <w:rsid w:val="00582B8E"/>
    <w:rsid w:val="005836C5"/>
    <w:rsid w:val="00583A6C"/>
    <w:rsid w:val="0058474C"/>
    <w:rsid w:val="0058518F"/>
    <w:rsid w:val="00585936"/>
    <w:rsid w:val="005869BB"/>
    <w:rsid w:val="00586C5C"/>
    <w:rsid w:val="00587202"/>
    <w:rsid w:val="005874C5"/>
    <w:rsid w:val="005913C6"/>
    <w:rsid w:val="00594A74"/>
    <w:rsid w:val="005953EE"/>
    <w:rsid w:val="005A0009"/>
    <w:rsid w:val="005A144B"/>
    <w:rsid w:val="005A30F9"/>
    <w:rsid w:val="005A36B9"/>
    <w:rsid w:val="005A4520"/>
    <w:rsid w:val="005A55D5"/>
    <w:rsid w:val="005A5ADE"/>
    <w:rsid w:val="005A6841"/>
    <w:rsid w:val="005A7368"/>
    <w:rsid w:val="005B18BB"/>
    <w:rsid w:val="005B216B"/>
    <w:rsid w:val="005B2314"/>
    <w:rsid w:val="005B2BE4"/>
    <w:rsid w:val="005B35CB"/>
    <w:rsid w:val="005B47D3"/>
    <w:rsid w:val="005B66E2"/>
    <w:rsid w:val="005B68C6"/>
    <w:rsid w:val="005B6B08"/>
    <w:rsid w:val="005C0534"/>
    <w:rsid w:val="005C061D"/>
    <w:rsid w:val="005C221C"/>
    <w:rsid w:val="005C24FF"/>
    <w:rsid w:val="005C3038"/>
    <w:rsid w:val="005C31DC"/>
    <w:rsid w:val="005C3D41"/>
    <w:rsid w:val="005C445B"/>
    <w:rsid w:val="005C5A08"/>
    <w:rsid w:val="005C5AA9"/>
    <w:rsid w:val="005C5FF2"/>
    <w:rsid w:val="005C74F6"/>
    <w:rsid w:val="005D1455"/>
    <w:rsid w:val="005D2579"/>
    <w:rsid w:val="005D52FB"/>
    <w:rsid w:val="005D61D8"/>
    <w:rsid w:val="005D6D50"/>
    <w:rsid w:val="005E066B"/>
    <w:rsid w:val="005E0F9A"/>
    <w:rsid w:val="005E13B9"/>
    <w:rsid w:val="005E13E7"/>
    <w:rsid w:val="005E34AA"/>
    <w:rsid w:val="005E4AAE"/>
    <w:rsid w:val="005E606F"/>
    <w:rsid w:val="005E6080"/>
    <w:rsid w:val="005E782C"/>
    <w:rsid w:val="005F0343"/>
    <w:rsid w:val="005F0D13"/>
    <w:rsid w:val="005F3C56"/>
    <w:rsid w:val="005F4472"/>
    <w:rsid w:val="005F5CBA"/>
    <w:rsid w:val="005F6896"/>
    <w:rsid w:val="005F6B6D"/>
    <w:rsid w:val="005F6E29"/>
    <w:rsid w:val="005F72A1"/>
    <w:rsid w:val="005F7AB2"/>
    <w:rsid w:val="005F7F80"/>
    <w:rsid w:val="00600DFB"/>
    <w:rsid w:val="006014CE"/>
    <w:rsid w:val="0060198C"/>
    <w:rsid w:val="00601F17"/>
    <w:rsid w:val="006042F0"/>
    <w:rsid w:val="00604E19"/>
    <w:rsid w:val="00605B63"/>
    <w:rsid w:val="00613BB9"/>
    <w:rsid w:val="00614FAB"/>
    <w:rsid w:val="00615585"/>
    <w:rsid w:val="00617E7E"/>
    <w:rsid w:val="006203A7"/>
    <w:rsid w:val="006214E6"/>
    <w:rsid w:val="006215D2"/>
    <w:rsid w:val="0062166E"/>
    <w:rsid w:val="006230ED"/>
    <w:rsid w:val="00623ED2"/>
    <w:rsid w:val="00624580"/>
    <w:rsid w:val="0062471C"/>
    <w:rsid w:val="006252B6"/>
    <w:rsid w:val="00625660"/>
    <w:rsid w:val="0062759E"/>
    <w:rsid w:val="00627E3D"/>
    <w:rsid w:val="006319F6"/>
    <w:rsid w:val="00631D22"/>
    <w:rsid w:val="00632125"/>
    <w:rsid w:val="0063218B"/>
    <w:rsid w:val="006348E4"/>
    <w:rsid w:val="00636BB8"/>
    <w:rsid w:val="00640A76"/>
    <w:rsid w:val="0064180B"/>
    <w:rsid w:val="00643158"/>
    <w:rsid w:val="0064589B"/>
    <w:rsid w:val="0064696B"/>
    <w:rsid w:val="0064746D"/>
    <w:rsid w:val="006479EB"/>
    <w:rsid w:val="00647C8A"/>
    <w:rsid w:val="00650828"/>
    <w:rsid w:val="00651D18"/>
    <w:rsid w:val="0065335A"/>
    <w:rsid w:val="00653D82"/>
    <w:rsid w:val="0065504F"/>
    <w:rsid w:val="006554F8"/>
    <w:rsid w:val="00656992"/>
    <w:rsid w:val="006650EF"/>
    <w:rsid w:val="00665264"/>
    <w:rsid w:val="006667C9"/>
    <w:rsid w:val="00666BFA"/>
    <w:rsid w:val="00667716"/>
    <w:rsid w:val="00670EF3"/>
    <w:rsid w:val="00671029"/>
    <w:rsid w:val="006754F9"/>
    <w:rsid w:val="006757FC"/>
    <w:rsid w:val="00676054"/>
    <w:rsid w:val="00682846"/>
    <w:rsid w:val="00683352"/>
    <w:rsid w:val="00685DEA"/>
    <w:rsid w:val="00687113"/>
    <w:rsid w:val="006901A2"/>
    <w:rsid w:val="00691842"/>
    <w:rsid w:val="00692E5B"/>
    <w:rsid w:val="00695EBA"/>
    <w:rsid w:val="00695F96"/>
    <w:rsid w:val="00696E2D"/>
    <w:rsid w:val="00696F7D"/>
    <w:rsid w:val="006973D4"/>
    <w:rsid w:val="00697455"/>
    <w:rsid w:val="006A1A72"/>
    <w:rsid w:val="006A6343"/>
    <w:rsid w:val="006A6D1A"/>
    <w:rsid w:val="006B2273"/>
    <w:rsid w:val="006B55E9"/>
    <w:rsid w:val="006B5C5C"/>
    <w:rsid w:val="006B6499"/>
    <w:rsid w:val="006B65B6"/>
    <w:rsid w:val="006B73C9"/>
    <w:rsid w:val="006C0022"/>
    <w:rsid w:val="006C0232"/>
    <w:rsid w:val="006C156A"/>
    <w:rsid w:val="006C30C2"/>
    <w:rsid w:val="006C36C1"/>
    <w:rsid w:val="006C5DFE"/>
    <w:rsid w:val="006C6E9B"/>
    <w:rsid w:val="006D0FEC"/>
    <w:rsid w:val="006D25E6"/>
    <w:rsid w:val="006D26DF"/>
    <w:rsid w:val="006D2FDC"/>
    <w:rsid w:val="006D3549"/>
    <w:rsid w:val="006D4198"/>
    <w:rsid w:val="006D6828"/>
    <w:rsid w:val="006E0423"/>
    <w:rsid w:val="006E0B37"/>
    <w:rsid w:val="006E1619"/>
    <w:rsid w:val="006E17B7"/>
    <w:rsid w:val="006E26DD"/>
    <w:rsid w:val="006E2B77"/>
    <w:rsid w:val="006E51C6"/>
    <w:rsid w:val="006E76BB"/>
    <w:rsid w:val="006E776F"/>
    <w:rsid w:val="006F0D59"/>
    <w:rsid w:val="006F2723"/>
    <w:rsid w:val="006F41DA"/>
    <w:rsid w:val="006F4BE8"/>
    <w:rsid w:val="006F5052"/>
    <w:rsid w:val="006F676A"/>
    <w:rsid w:val="00700F01"/>
    <w:rsid w:val="007010BE"/>
    <w:rsid w:val="00701123"/>
    <w:rsid w:val="00705351"/>
    <w:rsid w:val="00705BF6"/>
    <w:rsid w:val="00710527"/>
    <w:rsid w:val="007107B5"/>
    <w:rsid w:val="00711188"/>
    <w:rsid w:val="00711EEC"/>
    <w:rsid w:val="00712255"/>
    <w:rsid w:val="007129CB"/>
    <w:rsid w:val="00712AB4"/>
    <w:rsid w:val="00712E58"/>
    <w:rsid w:val="00714A1D"/>
    <w:rsid w:val="007221C4"/>
    <w:rsid w:val="007236E2"/>
    <w:rsid w:val="007244C0"/>
    <w:rsid w:val="007247A2"/>
    <w:rsid w:val="00725AD8"/>
    <w:rsid w:val="00725EE4"/>
    <w:rsid w:val="00726DEC"/>
    <w:rsid w:val="007302CD"/>
    <w:rsid w:val="0073130A"/>
    <w:rsid w:val="007321AD"/>
    <w:rsid w:val="0073367B"/>
    <w:rsid w:val="00733693"/>
    <w:rsid w:val="00737EC6"/>
    <w:rsid w:val="00740D44"/>
    <w:rsid w:val="00740FB0"/>
    <w:rsid w:val="007414C8"/>
    <w:rsid w:val="0074177D"/>
    <w:rsid w:val="007446ED"/>
    <w:rsid w:val="007456FE"/>
    <w:rsid w:val="0074639F"/>
    <w:rsid w:val="00747D9D"/>
    <w:rsid w:val="007503B4"/>
    <w:rsid w:val="00752336"/>
    <w:rsid w:val="00754C94"/>
    <w:rsid w:val="00754E71"/>
    <w:rsid w:val="00757BCA"/>
    <w:rsid w:val="007607D5"/>
    <w:rsid w:val="00762B66"/>
    <w:rsid w:val="00763BA2"/>
    <w:rsid w:val="00766208"/>
    <w:rsid w:val="007662FD"/>
    <w:rsid w:val="00767B92"/>
    <w:rsid w:val="00767BE7"/>
    <w:rsid w:val="0077047B"/>
    <w:rsid w:val="00770582"/>
    <w:rsid w:val="00770D00"/>
    <w:rsid w:val="00770D76"/>
    <w:rsid w:val="00771F75"/>
    <w:rsid w:val="007741A2"/>
    <w:rsid w:val="007753E0"/>
    <w:rsid w:val="00775ED5"/>
    <w:rsid w:val="007773D3"/>
    <w:rsid w:val="0077755B"/>
    <w:rsid w:val="0077DB27"/>
    <w:rsid w:val="0078026F"/>
    <w:rsid w:val="00781761"/>
    <w:rsid w:val="0078411D"/>
    <w:rsid w:val="0078472A"/>
    <w:rsid w:val="0079016C"/>
    <w:rsid w:val="00790595"/>
    <w:rsid w:val="00790D98"/>
    <w:rsid w:val="00792F91"/>
    <w:rsid w:val="00794868"/>
    <w:rsid w:val="007957F0"/>
    <w:rsid w:val="0079613D"/>
    <w:rsid w:val="00797E1E"/>
    <w:rsid w:val="007A0AB4"/>
    <w:rsid w:val="007A1070"/>
    <w:rsid w:val="007A139E"/>
    <w:rsid w:val="007A1924"/>
    <w:rsid w:val="007A1BF5"/>
    <w:rsid w:val="007A4436"/>
    <w:rsid w:val="007A48D5"/>
    <w:rsid w:val="007A4C4E"/>
    <w:rsid w:val="007A52E6"/>
    <w:rsid w:val="007A5B64"/>
    <w:rsid w:val="007A6049"/>
    <w:rsid w:val="007A61B0"/>
    <w:rsid w:val="007B10DA"/>
    <w:rsid w:val="007B72E4"/>
    <w:rsid w:val="007C27CF"/>
    <w:rsid w:val="007C34C0"/>
    <w:rsid w:val="007C3662"/>
    <w:rsid w:val="007C6C16"/>
    <w:rsid w:val="007D0C21"/>
    <w:rsid w:val="007D1AD9"/>
    <w:rsid w:val="007D2FBC"/>
    <w:rsid w:val="007D373F"/>
    <w:rsid w:val="007D3868"/>
    <w:rsid w:val="007D4C16"/>
    <w:rsid w:val="007D6734"/>
    <w:rsid w:val="007D6E74"/>
    <w:rsid w:val="007D7AFF"/>
    <w:rsid w:val="007D7F77"/>
    <w:rsid w:val="007E0573"/>
    <w:rsid w:val="007E2674"/>
    <w:rsid w:val="007E2827"/>
    <w:rsid w:val="007E42C0"/>
    <w:rsid w:val="007E4916"/>
    <w:rsid w:val="007E65AE"/>
    <w:rsid w:val="007F00D4"/>
    <w:rsid w:val="007F0E37"/>
    <w:rsid w:val="007F20C6"/>
    <w:rsid w:val="00800390"/>
    <w:rsid w:val="008014C7"/>
    <w:rsid w:val="00801A7C"/>
    <w:rsid w:val="00803917"/>
    <w:rsid w:val="008062E4"/>
    <w:rsid w:val="00806791"/>
    <w:rsid w:val="008067D8"/>
    <w:rsid w:val="00806BB1"/>
    <w:rsid w:val="00807013"/>
    <w:rsid w:val="00810185"/>
    <w:rsid w:val="00810D1A"/>
    <w:rsid w:val="008161D5"/>
    <w:rsid w:val="00816BBA"/>
    <w:rsid w:val="008170BF"/>
    <w:rsid w:val="00817BC5"/>
    <w:rsid w:val="00820339"/>
    <w:rsid w:val="008225A7"/>
    <w:rsid w:val="00823E8F"/>
    <w:rsid w:val="00824465"/>
    <w:rsid w:val="00825665"/>
    <w:rsid w:val="00826071"/>
    <w:rsid w:val="00826678"/>
    <w:rsid w:val="0082719F"/>
    <w:rsid w:val="008314A5"/>
    <w:rsid w:val="00831E21"/>
    <w:rsid w:val="008326EB"/>
    <w:rsid w:val="00833C1E"/>
    <w:rsid w:val="0083512C"/>
    <w:rsid w:val="00836867"/>
    <w:rsid w:val="0083691C"/>
    <w:rsid w:val="00836BB0"/>
    <w:rsid w:val="00837E44"/>
    <w:rsid w:val="00837F90"/>
    <w:rsid w:val="0084094E"/>
    <w:rsid w:val="008411B3"/>
    <w:rsid w:val="008418AE"/>
    <w:rsid w:val="008439F5"/>
    <w:rsid w:val="00846824"/>
    <w:rsid w:val="00847C33"/>
    <w:rsid w:val="00850236"/>
    <w:rsid w:val="00850E2C"/>
    <w:rsid w:val="008531C4"/>
    <w:rsid w:val="00853D3F"/>
    <w:rsid w:val="008545FE"/>
    <w:rsid w:val="00854D53"/>
    <w:rsid w:val="008553D7"/>
    <w:rsid w:val="0085573C"/>
    <w:rsid w:val="008558E7"/>
    <w:rsid w:val="00856A87"/>
    <w:rsid w:val="00864694"/>
    <w:rsid w:val="00866F95"/>
    <w:rsid w:val="00870CF0"/>
    <w:rsid w:val="008719BF"/>
    <w:rsid w:val="008740F8"/>
    <w:rsid w:val="00874248"/>
    <w:rsid w:val="00875226"/>
    <w:rsid w:val="00875A98"/>
    <w:rsid w:val="00877D67"/>
    <w:rsid w:val="00880887"/>
    <w:rsid w:val="008813E3"/>
    <w:rsid w:val="00881994"/>
    <w:rsid w:val="00881D4A"/>
    <w:rsid w:val="0088426F"/>
    <w:rsid w:val="00885204"/>
    <w:rsid w:val="008852EA"/>
    <w:rsid w:val="00886889"/>
    <w:rsid w:val="008903C2"/>
    <w:rsid w:val="00890564"/>
    <w:rsid w:val="00890F53"/>
    <w:rsid w:val="00891733"/>
    <w:rsid w:val="00891F2D"/>
    <w:rsid w:val="00892EB3"/>
    <w:rsid w:val="00893EA1"/>
    <w:rsid w:val="00894063"/>
    <w:rsid w:val="008977C9"/>
    <w:rsid w:val="008A11A6"/>
    <w:rsid w:val="008A34E4"/>
    <w:rsid w:val="008A7FDD"/>
    <w:rsid w:val="008B3E3D"/>
    <w:rsid w:val="008B40B8"/>
    <w:rsid w:val="008B560F"/>
    <w:rsid w:val="008B7204"/>
    <w:rsid w:val="008C0928"/>
    <w:rsid w:val="008C0DB5"/>
    <w:rsid w:val="008C2130"/>
    <w:rsid w:val="008C2475"/>
    <w:rsid w:val="008C43EF"/>
    <w:rsid w:val="008C53EE"/>
    <w:rsid w:val="008C5677"/>
    <w:rsid w:val="008C6489"/>
    <w:rsid w:val="008D0EE7"/>
    <w:rsid w:val="008D2115"/>
    <w:rsid w:val="008D2B5E"/>
    <w:rsid w:val="008D470E"/>
    <w:rsid w:val="008D47DC"/>
    <w:rsid w:val="008D698F"/>
    <w:rsid w:val="008E1FBA"/>
    <w:rsid w:val="008E385E"/>
    <w:rsid w:val="008E5C04"/>
    <w:rsid w:val="008E6D2B"/>
    <w:rsid w:val="008F0FE4"/>
    <w:rsid w:val="008F2622"/>
    <w:rsid w:val="008F28A4"/>
    <w:rsid w:val="008F3AB6"/>
    <w:rsid w:val="008F58FC"/>
    <w:rsid w:val="008F5DA5"/>
    <w:rsid w:val="008F6087"/>
    <w:rsid w:val="008F64FE"/>
    <w:rsid w:val="008F75A2"/>
    <w:rsid w:val="009018AF"/>
    <w:rsid w:val="00902E22"/>
    <w:rsid w:val="00903ABD"/>
    <w:rsid w:val="00903B9E"/>
    <w:rsid w:val="009065B2"/>
    <w:rsid w:val="00907D1E"/>
    <w:rsid w:val="009108C4"/>
    <w:rsid w:val="00911B71"/>
    <w:rsid w:val="00911D3D"/>
    <w:rsid w:val="00911FCA"/>
    <w:rsid w:val="00913B8F"/>
    <w:rsid w:val="00914A56"/>
    <w:rsid w:val="00914E14"/>
    <w:rsid w:val="00922357"/>
    <w:rsid w:val="00922B5E"/>
    <w:rsid w:val="009230B5"/>
    <w:rsid w:val="00924F5A"/>
    <w:rsid w:val="00925F32"/>
    <w:rsid w:val="009307BD"/>
    <w:rsid w:val="00931620"/>
    <w:rsid w:val="00933033"/>
    <w:rsid w:val="00933A7D"/>
    <w:rsid w:val="00933EB2"/>
    <w:rsid w:val="0093448E"/>
    <w:rsid w:val="009365F1"/>
    <w:rsid w:val="009412BB"/>
    <w:rsid w:val="00941A4E"/>
    <w:rsid w:val="00941A79"/>
    <w:rsid w:val="00941EFF"/>
    <w:rsid w:val="00942161"/>
    <w:rsid w:val="00942E74"/>
    <w:rsid w:val="0094337C"/>
    <w:rsid w:val="00946B71"/>
    <w:rsid w:val="00951866"/>
    <w:rsid w:val="00952421"/>
    <w:rsid w:val="0095482B"/>
    <w:rsid w:val="00956FC6"/>
    <w:rsid w:val="009573FE"/>
    <w:rsid w:val="009574E3"/>
    <w:rsid w:val="00957F2F"/>
    <w:rsid w:val="0096134A"/>
    <w:rsid w:val="00961392"/>
    <w:rsid w:val="00961E73"/>
    <w:rsid w:val="0096210F"/>
    <w:rsid w:val="00962326"/>
    <w:rsid w:val="00963CF7"/>
    <w:rsid w:val="00966FEE"/>
    <w:rsid w:val="0097028E"/>
    <w:rsid w:val="00971358"/>
    <w:rsid w:val="009726E5"/>
    <w:rsid w:val="00973A53"/>
    <w:rsid w:val="009753D0"/>
    <w:rsid w:val="00975DE4"/>
    <w:rsid w:val="0097633F"/>
    <w:rsid w:val="0097761C"/>
    <w:rsid w:val="00977920"/>
    <w:rsid w:val="00981090"/>
    <w:rsid w:val="00982AA7"/>
    <w:rsid w:val="00982B6F"/>
    <w:rsid w:val="00983E64"/>
    <w:rsid w:val="009840C9"/>
    <w:rsid w:val="00984259"/>
    <w:rsid w:val="00986175"/>
    <w:rsid w:val="009876BE"/>
    <w:rsid w:val="00990D0A"/>
    <w:rsid w:val="009911D1"/>
    <w:rsid w:val="009919CC"/>
    <w:rsid w:val="00991F89"/>
    <w:rsid w:val="00993554"/>
    <w:rsid w:val="00993802"/>
    <w:rsid w:val="0099490C"/>
    <w:rsid w:val="00996929"/>
    <w:rsid w:val="00997496"/>
    <w:rsid w:val="009A04F9"/>
    <w:rsid w:val="009A1677"/>
    <w:rsid w:val="009A246B"/>
    <w:rsid w:val="009A46E3"/>
    <w:rsid w:val="009A485F"/>
    <w:rsid w:val="009A56BA"/>
    <w:rsid w:val="009A5EBE"/>
    <w:rsid w:val="009A6CD4"/>
    <w:rsid w:val="009A7150"/>
    <w:rsid w:val="009A7895"/>
    <w:rsid w:val="009B1022"/>
    <w:rsid w:val="009B3D0D"/>
    <w:rsid w:val="009B7142"/>
    <w:rsid w:val="009C0C15"/>
    <w:rsid w:val="009C10DD"/>
    <w:rsid w:val="009C275A"/>
    <w:rsid w:val="009C2DEB"/>
    <w:rsid w:val="009C36EF"/>
    <w:rsid w:val="009C3C6E"/>
    <w:rsid w:val="009C481B"/>
    <w:rsid w:val="009C53BD"/>
    <w:rsid w:val="009C59EE"/>
    <w:rsid w:val="009C6855"/>
    <w:rsid w:val="009C6F14"/>
    <w:rsid w:val="009D1A4B"/>
    <w:rsid w:val="009D1BD5"/>
    <w:rsid w:val="009D30E3"/>
    <w:rsid w:val="009D384F"/>
    <w:rsid w:val="009D4414"/>
    <w:rsid w:val="009D4660"/>
    <w:rsid w:val="009D4B4B"/>
    <w:rsid w:val="009D5748"/>
    <w:rsid w:val="009D69FE"/>
    <w:rsid w:val="009E00DB"/>
    <w:rsid w:val="009E0384"/>
    <w:rsid w:val="009E216F"/>
    <w:rsid w:val="009E21C1"/>
    <w:rsid w:val="009E377D"/>
    <w:rsid w:val="009E40ED"/>
    <w:rsid w:val="009E442B"/>
    <w:rsid w:val="009E726F"/>
    <w:rsid w:val="009F14B0"/>
    <w:rsid w:val="009F2503"/>
    <w:rsid w:val="009F6015"/>
    <w:rsid w:val="009F6F16"/>
    <w:rsid w:val="00A02BB7"/>
    <w:rsid w:val="00A03D49"/>
    <w:rsid w:val="00A04813"/>
    <w:rsid w:val="00A06BF3"/>
    <w:rsid w:val="00A07C01"/>
    <w:rsid w:val="00A12711"/>
    <w:rsid w:val="00A13322"/>
    <w:rsid w:val="00A13509"/>
    <w:rsid w:val="00A139AD"/>
    <w:rsid w:val="00A145D2"/>
    <w:rsid w:val="00A1489C"/>
    <w:rsid w:val="00A20E3C"/>
    <w:rsid w:val="00A20E8F"/>
    <w:rsid w:val="00A21425"/>
    <w:rsid w:val="00A216B0"/>
    <w:rsid w:val="00A226F4"/>
    <w:rsid w:val="00A23C2E"/>
    <w:rsid w:val="00A25908"/>
    <w:rsid w:val="00A25E82"/>
    <w:rsid w:val="00A267C2"/>
    <w:rsid w:val="00A26CAE"/>
    <w:rsid w:val="00A2753F"/>
    <w:rsid w:val="00A27A4A"/>
    <w:rsid w:val="00A33532"/>
    <w:rsid w:val="00A33575"/>
    <w:rsid w:val="00A34FBC"/>
    <w:rsid w:val="00A35211"/>
    <w:rsid w:val="00A3737E"/>
    <w:rsid w:val="00A37B5B"/>
    <w:rsid w:val="00A37EE2"/>
    <w:rsid w:val="00A41634"/>
    <w:rsid w:val="00A43FEB"/>
    <w:rsid w:val="00A45E76"/>
    <w:rsid w:val="00A46043"/>
    <w:rsid w:val="00A464F5"/>
    <w:rsid w:val="00A47131"/>
    <w:rsid w:val="00A50D9D"/>
    <w:rsid w:val="00A50FDE"/>
    <w:rsid w:val="00A52BCD"/>
    <w:rsid w:val="00A54E70"/>
    <w:rsid w:val="00A55D1E"/>
    <w:rsid w:val="00A56634"/>
    <w:rsid w:val="00A56C4B"/>
    <w:rsid w:val="00A57457"/>
    <w:rsid w:val="00A61132"/>
    <w:rsid w:val="00A628D0"/>
    <w:rsid w:val="00A62E5D"/>
    <w:rsid w:val="00A63549"/>
    <w:rsid w:val="00A642D3"/>
    <w:rsid w:val="00A65AD4"/>
    <w:rsid w:val="00A6634B"/>
    <w:rsid w:val="00A66C29"/>
    <w:rsid w:val="00A67248"/>
    <w:rsid w:val="00A70BA1"/>
    <w:rsid w:val="00A76239"/>
    <w:rsid w:val="00A77E7F"/>
    <w:rsid w:val="00A828D2"/>
    <w:rsid w:val="00A82BB7"/>
    <w:rsid w:val="00A83A3E"/>
    <w:rsid w:val="00A83C69"/>
    <w:rsid w:val="00A840A9"/>
    <w:rsid w:val="00A9169A"/>
    <w:rsid w:val="00A92479"/>
    <w:rsid w:val="00A93193"/>
    <w:rsid w:val="00A95E7D"/>
    <w:rsid w:val="00A97705"/>
    <w:rsid w:val="00AA0DC8"/>
    <w:rsid w:val="00AA11E1"/>
    <w:rsid w:val="00AA2B2A"/>
    <w:rsid w:val="00AA31CA"/>
    <w:rsid w:val="00AA3699"/>
    <w:rsid w:val="00AA5CCD"/>
    <w:rsid w:val="00AA6F24"/>
    <w:rsid w:val="00AA785B"/>
    <w:rsid w:val="00AA7BFF"/>
    <w:rsid w:val="00AB06F7"/>
    <w:rsid w:val="00AB280D"/>
    <w:rsid w:val="00AB39F4"/>
    <w:rsid w:val="00AB3BAF"/>
    <w:rsid w:val="00AB4DC6"/>
    <w:rsid w:val="00AB4E25"/>
    <w:rsid w:val="00AB618F"/>
    <w:rsid w:val="00AB6AC3"/>
    <w:rsid w:val="00AB6F3D"/>
    <w:rsid w:val="00AB702E"/>
    <w:rsid w:val="00AB7E5D"/>
    <w:rsid w:val="00AC02FB"/>
    <w:rsid w:val="00AC1BA9"/>
    <w:rsid w:val="00AC5A6A"/>
    <w:rsid w:val="00AC6F2A"/>
    <w:rsid w:val="00AC74F7"/>
    <w:rsid w:val="00AD1A64"/>
    <w:rsid w:val="00AD42D9"/>
    <w:rsid w:val="00AD6246"/>
    <w:rsid w:val="00AD6E5D"/>
    <w:rsid w:val="00AD71D5"/>
    <w:rsid w:val="00AE0B3C"/>
    <w:rsid w:val="00AE7A7C"/>
    <w:rsid w:val="00AE7B74"/>
    <w:rsid w:val="00AF0F2E"/>
    <w:rsid w:val="00AF1F4B"/>
    <w:rsid w:val="00AF3DB3"/>
    <w:rsid w:val="00AF4F42"/>
    <w:rsid w:val="00AF5450"/>
    <w:rsid w:val="00AF545F"/>
    <w:rsid w:val="00AF551A"/>
    <w:rsid w:val="00AF72DE"/>
    <w:rsid w:val="00B003F0"/>
    <w:rsid w:val="00B008C2"/>
    <w:rsid w:val="00B00B7F"/>
    <w:rsid w:val="00B02381"/>
    <w:rsid w:val="00B0303D"/>
    <w:rsid w:val="00B03280"/>
    <w:rsid w:val="00B03572"/>
    <w:rsid w:val="00B03EC4"/>
    <w:rsid w:val="00B04A49"/>
    <w:rsid w:val="00B04B84"/>
    <w:rsid w:val="00B1150D"/>
    <w:rsid w:val="00B12742"/>
    <w:rsid w:val="00B13030"/>
    <w:rsid w:val="00B139CA"/>
    <w:rsid w:val="00B14496"/>
    <w:rsid w:val="00B174A4"/>
    <w:rsid w:val="00B25282"/>
    <w:rsid w:val="00B312DF"/>
    <w:rsid w:val="00B31476"/>
    <w:rsid w:val="00B33231"/>
    <w:rsid w:val="00B366B6"/>
    <w:rsid w:val="00B366C7"/>
    <w:rsid w:val="00B40001"/>
    <w:rsid w:val="00B41143"/>
    <w:rsid w:val="00B41DCC"/>
    <w:rsid w:val="00B430BB"/>
    <w:rsid w:val="00B45C50"/>
    <w:rsid w:val="00B47BB8"/>
    <w:rsid w:val="00B50C0F"/>
    <w:rsid w:val="00B51DAB"/>
    <w:rsid w:val="00B52024"/>
    <w:rsid w:val="00B54046"/>
    <w:rsid w:val="00B54F94"/>
    <w:rsid w:val="00B55921"/>
    <w:rsid w:val="00B57B0F"/>
    <w:rsid w:val="00B600D1"/>
    <w:rsid w:val="00B607E9"/>
    <w:rsid w:val="00B614C6"/>
    <w:rsid w:val="00B6436C"/>
    <w:rsid w:val="00B64A21"/>
    <w:rsid w:val="00B64ACC"/>
    <w:rsid w:val="00B6583B"/>
    <w:rsid w:val="00B65E09"/>
    <w:rsid w:val="00B66DC9"/>
    <w:rsid w:val="00B66F5C"/>
    <w:rsid w:val="00B66FBE"/>
    <w:rsid w:val="00B70351"/>
    <w:rsid w:val="00B707AD"/>
    <w:rsid w:val="00B7354E"/>
    <w:rsid w:val="00B740CD"/>
    <w:rsid w:val="00B75339"/>
    <w:rsid w:val="00B75E3D"/>
    <w:rsid w:val="00B75FD5"/>
    <w:rsid w:val="00B76141"/>
    <w:rsid w:val="00B779F3"/>
    <w:rsid w:val="00B8049E"/>
    <w:rsid w:val="00B8180D"/>
    <w:rsid w:val="00B81D7C"/>
    <w:rsid w:val="00B81FA3"/>
    <w:rsid w:val="00B83442"/>
    <w:rsid w:val="00B8457A"/>
    <w:rsid w:val="00B85822"/>
    <w:rsid w:val="00B86850"/>
    <w:rsid w:val="00B87F62"/>
    <w:rsid w:val="00B91E7E"/>
    <w:rsid w:val="00B93694"/>
    <w:rsid w:val="00B93823"/>
    <w:rsid w:val="00B93B64"/>
    <w:rsid w:val="00B944C1"/>
    <w:rsid w:val="00B95865"/>
    <w:rsid w:val="00B95D8C"/>
    <w:rsid w:val="00B964EA"/>
    <w:rsid w:val="00B965FA"/>
    <w:rsid w:val="00B96D30"/>
    <w:rsid w:val="00B97627"/>
    <w:rsid w:val="00B976C5"/>
    <w:rsid w:val="00B977B5"/>
    <w:rsid w:val="00BA02BB"/>
    <w:rsid w:val="00BA16FF"/>
    <w:rsid w:val="00BA4815"/>
    <w:rsid w:val="00BA4A4F"/>
    <w:rsid w:val="00BA5D32"/>
    <w:rsid w:val="00BA7E19"/>
    <w:rsid w:val="00BA7E62"/>
    <w:rsid w:val="00BB0345"/>
    <w:rsid w:val="00BB0596"/>
    <w:rsid w:val="00BB17B9"/>
    <w:rsid w:val="00BB23F7"/>
    <w:rsid w:val="00BB31D2"/>
    <w:rsid w:val="00BB4150"/>
    <w:rsid w:val="00BB799D"/>
    <w:rsid w:val="00BC0480"/>
    <w:rsid w:val="00BC0754"/>
    <w:rsid w:val="00BC197F"/>
    <w:rsid w:val="00BC2085"/>
    <w:rsid w:val="00BC33EE"/>
    <w:rsid w:val="00BC4FD8"/>
    <w:rsid w:val="00BC63C0"/>
    <w:rsid w:val="00BC69F9"/>
    <w:rsid w:val="00BC712F"/>
    <w:rsid w:val="00BD1F32"/>
    <w:rsid w:val="00BD281A"/>
    <w:rsid w:val="00BD370A"/>
    <w:rsid w:val="00BD4301"/>
    <w:rsid w:val="00BD4E54"/>
    <w:rsid w:val="00BD5106"/>
    <w:rsid w:val="00BD5A12"/>
    <w:rsid w:val="00BD64AF"/>
    <w:rsid w:val="00BD71EE"/>
    <w:rsid w:val="00BD72E4"/>
    <w:rsid w:val="00BD7AA6"/>
    <w:rsid w:val="00BD7B67"/>
    <w:rsid w:val="00BE0093"/>
    <w:rsid w:val="00BE03D5"/>
    <w:rsid w:val="00BE09E8"/>
    <w:rsid w:val="00BE605C"/>
    <w:rsid w:val="00BE6896"/>
    <w:rsid w:val="00BE6928"/>
    <w:rsid w:val="00BE696C"/>
    <w:rsid w:val="00BE6A3B"/>
    <w:rsid w:val="00BE7304"/>
    <w:rsid w:val="00BF04E8"/>
    <w:rsid w:val="00BF073D"/>
    <w:rsid w:val="00BF1072"/>
    <w:rsid w:val="00BF5CDF"/>
    <w:rsid w:val="00BF79ED"/>
    <w:rsid w:val="00C00716"/>
    <w:rsid w:val="00C01243"/>
    <w:rsid w:val="00C026D0"/>
    <w:rsid w:val="00C0382E"/>
    <w:rsid w:val="00C05803"/>
    <w:rsid w:val="00C05EC7"/>
    <w:rsid w:val="00C0613B"/>
    <w:rsid w:val="00C06311"/>
    <w:rsid w:val="00C101C4"/>
    <w:rsid w:val="00C114CD"/>
    <w:rsid w:val="00C141C6"/>
    <w:rsid w:val="00C14C4C"/>
    <w:rsid w:val="00C15242"/>
    <w:rsid w:val="00C15BFA"/>
    <w:rsid w:val="00C15D6B"/>
    <w:rsid w:val="00C160F4"/>
    <w:rsid w:val="00C16C55"/>
    <w:rsid w:val="00C2009F"/>
    <w:rsid w:val="00C2143A"/>
    <w:rsid w:val="00C23A4E"/>
    <w:rsid w:val="00C23B7B"/>
    <w:rsid w:val="00C2458A"/>
    <w:rsid w:val="00C3135A"/>
    <w:rsid w:val="00C319E6"/>
    <w:rsid w:val="00C326D0"/>
    <w:rsid w:val="00C34689"/>
    <w:rsid w:val="00C3468A"/>
    <w:rsid w:val="00C349B3"/>
    <w:rsid w:val="00C34B65"/>
    <w:rsid w:val="00C34F7C"/>
    <w:rsid w:val="00C34FD9"/>
    <w:rsid w:val="00C353B8"/>
    <w:rsid w:val="00C35A9B"/>
    <w:rsid w:val="00C402CE"/>
    <w:rsid w:val="00C40D62"/>
    <w:rsid w:val="00C41090"/>
    <w:rsid w:val="00C42373"/>
    <w:rsid w:val="00C42BC7"/>
    <w:rsid w:val="00C44888"/>
    <w:rsid w:val="00C44AF5"/>
    <w:rsid w:val="00C46EA4"/>
    <w:rsid w:val="00C470BA"/>
    <w:rsid w:val="00C516A5"/>
    <w:rsid w:val="00C52A14"/>
    <w:rsid w:val="00C55E22"/>
    <w:rsid w:val="00C560DD"/>
    <w:rsid w:val="00C5680A"/>
    <w:rsid w:val="00C60D34"/>
    <w:rsid w:val="00C63DA3"/>
    <w:rsid w:val="00C648B8"/>
    <w:rsid w:val="00C64EC7"/>
    <w:rsid w:val="00C657ED"/>
    <w:rsid w:val="00C6594B"/>
    <w:rsid w:val="00C67403"/>
    <w:rsid w:val="00C72121"/>
    <w:rsid w:val="00C726B7"/>
    <w:rsid w:val="00C74571"/>
    <w:rsid w:val="00C74D05"/>
    <w:rsid w:val="00C75865"/>
    <w:rsid w:val="00C75A41"/>
    <w:rsid w:val="00C8114C"/>
    <w:rsid w:val="00C820C9"/>
    <w:rsid w:val="00C826F9"/>
    <w:rsid w:val="00C85383"/>
    <w:rsid w:val="00C8586C"/>
    <w:rsid w:val="00C860AB"/>
    <w:rsid w:val="00C862A4"/>
    <w:rsid w:val="00C90E63"/>
    <w:rsid w:val="00C91074"/>
    <w:rsid w:val="00C93A2B"/>
    <w:rsid w:val="00C93B1E"/>
    <w:rsid w:val="00C95310"/>
    <w:rsid w:val="00C95976"/>
    <w:rsid w:val="00C959BF"/>
    <w:rsid w:val="00C95E0D"/>
    <w:rsid w:val="00C9620B"/>
    <w:rsid w:val="00C96F2C"/>
    <w:rsid w:val="00C97806"/>
    <w:rsid w:val="00CA1322"/>
    <w:rsid w:val="00CA1821"/>
    <w:rsid w:val="00CA183E"/>
    <w:rsid w:val="00CA292F"/>
    <w:rsid w:val="00CA3064"/>
    <w:rsid w:val="00CA3485"/>
    <w:rsid w:val="00CA3A22"/>
    <w:rsid w:val="00CA3F68"/>
    <w:rsid w:val="00CA6F0C"/>
    <w:rsid w:val="00CA7351"/>
    <w:rsid w:val="00CA7401"/>
    <w:rsid w:val="00CB0E33"/>
    <w:rsid w:val="00CB13D0"/>
    <w:rsid w:val="00CB29A3"/>
    <w:rsid w:val="00CB2E86"/>
    <w:rsid w:val="00CB2EAB"/>
    <w:rsid w:val="00CB4937"/>
    <w:rsid w:val="00CB51C3"/>
    <w:rsid w:val="00CB70B3"/>
    <w:rsid w:val="00CB71C7"/>
    <w:rsid w:val="00CB79B3"/>
    <w:rsid w:val="00CB7E53"/>
    <w:rsid w:val="00CC19CD"/>
    <w:rsid w:val="00CC4885"/>
    <w:rsid w:val="00CC5BB5"/>
    <w:rsid w:val="00CC6885"/>
    <w:rsid w:val="00CC6E2F"/>
    <w:rsid w:val="00CC74B8"/>
    <w:rsid w:val="00CC7AA3"/>
    <w:rsid w:val="00CD1564"/>
    <w:rsid w:val="00CD1B0B"/>
    <w:rsid w:val="00CD3572"/>
    <w:rsid w:val="00CD470E"/>
    <w:rsid w:val="00CD5A6E"/>
    <w:rsid w:val="00CD7DA0"/>
    <w:rsid w:val="00CE0F45"/>
    <w:rsid w:val="00CE1D4D"/>
    <w:rsid w:val="00CE223D"/>
    <w:rsid w:val="00CE253B"/>
    <w:rsid w:val="00CE48F5"/>
    <w:rsid w:val="00CE54BA"/>
    <w:rsid w:val="00CE7124"/>
    <w:rsid w:val="00CE758C"/>
    <w:rsid w:val="00CE79DC"/>
    <w:rsid w:val="00CF081F"/>
    <w:rsid w:val="00CF09DF"/>
    <w:rsid w:val="00CF1559"/>
    <w:rsid w:val="00CF1E98"/>
    <w:rsid w:val="00CF4C02"/>
    <w:rsid w:val="00CF5B0A"/>
    <w:rsid w:val="00CF702F"/>
    <w:rsid w:val="00CF7138"/>
    <w:rsid w:val="00D001C1"/>
    <w:rsid w:val="00D006F7"/>
    <w:rsid w:val="00D00A79"/>
    <w:rsid w:val="00D013EB"/>
    <w:rsid w:val="00D0160E"/>
    <w:rsid w:val="00D033F2"/>
    <w:rsid w:val="00D03B27"/>
    <w:rsid w:val="00D04DF1"/>
    <w:rsid w:val="00D059C2"/>
    <w:rsid w:val="00D06C04"/>
    <w:rsid w:val="00D070A3"/>
    <w:rsid w:val="00D0718F"/>
    <w:rsid w:val="00D07574"/>
    <w:rsid w:val="00D0781D"/>
    <w:rsid w:val="00D12562"/>
    <w:rsid w:val="00D14257"/>
    <w:rsid w:val="00D16195"/>
    <w:rsid w:val="00D17B62"/>
    <w:rsid w:val="00D17D2D"/>
    <w:rsid w:val="00D21FBE"/>
    <w:rsid w:val="00D226FE"/>
    <w:rsid w:val="00D251E0"/>
    <w:rsid w:val="00D2522D"/>
    <w:rsid w:val="00D258D4"/>
    <w:rsid w:val="00D27295"/>
    <w:rsid w:val="00D27A03"/>
    <w:rsid w:val="00D27A29"/>
    <w:rsid w:val="00D304BA"/>
    <w:rsid w:val="00D35657"/>
    <w:rsid w:val="00D35897"/>
    <w:rsid w:val="00D36431"/>
    <w:rsid w:val="00D379C5"/>
    <w:rsid w:val="00D41AE7"/>
    <w:rsid w:val="00D428C7"/>
    <w:rsid w:val="00D43128"/>
    <w:rsid w:val="00D43847"/>
    <w:rsid w:val="00D4629B"/>
    <w:rsid w:val="00D462B0"/>
    <w:rsid w:val="00D47B82"/>
    <w:rsid w:val="00D53BB6"/>
    <w:rsid w:val="00D545B7"/>
    <w:rsid w:val="00D54A9E"/>
    <w:rsid w:val="00D55708"/>
    <w:rsid w:val="00D55849"/>
    <w:rsid w:val="00D57E92"/>
    <w:rsid w:val="00D60491"/>
    <w:rsid w:val="00D6060D"/>
    <w:rsid w:val="00D628EB"/>
    <w:rsid w:val="00D62AF9"/>
    <w:rsid w:val="00D62F5D"/>
    <w:rsid w:val="00D63581"/>
    <w:rsid w:val="00D66970"/>
    <w:rsid w:val="00D67C30"/>
    <w:rsid w:val="00D67CA1"/>
    <w:rsid w:val="00D71248"/>
    <w:rsid w:val="00D7470E"/>
    <w:rsid w:val="00D75D69"/>
    <w:rsid w:val="00D762A0"/>
    <w:rsid w:val="00D76A21"/>
    <w:rsid w:val="00D77052"/>
    <w:rsid w:val="00D772E7"/>
    <w:rsid w:val="00D778E3"/>
    <w:rsid w:val="00D7795F"/>
    <w:rsid w:val="00D814C3"/>
    <w:rsid w:val="00D82D5F"/>
    <w:rsid w:val="00D83E13"/>
    <w:rsid w:val="00D87D96"/>
    <w:rsid w:val="00D91772"/>
    <w:rsid w:val="00D9373C"/>
    <w:rsid w:val="00D954EB"/>
    <w:rsid w:val="00DA310A"/>
    <w:rsid w:val="00DA31F3"/>
    <w:rsid w:val="00DA6559"/>
    <w:rsid w:val="00DA76E8"/>
    <w:rsid w:val="00DA7EA9"/>
    <w:rsid w:val="00DB2BAC"/>
    <w:rsid w:val="00DB3E99"/>
    <w:rsid w:val="00DB5195"/>
    <w:rsid w:val="00DB5E43"/>
    <w:rsid w:val="00DB7536"/>
    <w:rsid w:val="00DC0B47"/>
    <w:rsid w:val="00DC236A"/>
    <w:rsid w:val="00DC2EB2"/>
    <w:rsid w:val="00DC3362"/>
    <w:rsid w:val="00DC4903"/>
    <w:rsid w:val="00DC4D0B"/>
    <w:rsid w:val="00DC7A41"/>
    <w:rsid w:val="00DD0C2F"/>
    <w:rsid w:val="00DD1077"/>
    <w:rsid w:val="00DD1F05"/>
    <w:rsid w:val="00DD1FEF"/>
    <w:rsid w:val="00DD66E7"/>
    <w:rsid w:val="00DD671E"/>
    <w:rsid w:val="00DD6A72"/>
    <w:rsid w:val="00DE0B6F"/>
    <w:rsid w:val="00DE0E67"/>
    <w:rsid w:val="00DE2D17"/>
    <w:rsid w:val="00DE36A5"/>
    <w:rsid w:val="00DE386C"/>
    <w:rsid w:val="00DE762D"/>
    <w:rsid w:val="00DE7679"/>
    <w:rsid w:val="00DE7B7A"/>
    <w:rsid w:val="00DE7C18"/>
    <w:rsid w:val="00DE7EB5"/>
    <w:rsid w:val="00DE7F82"/>
    <w:rsid w:val="00DF15AA"/>
    <w:rsid w:val="00DF1DFE"/>
    <w:rsid w:val="00DF214B"/>
    <w:rsid w:val="00DF69BD"/>
    <w:rsid w:val="00E01F77"/>
    <w:rsid w:val="00E0305E"/>
    <w:rsid w:val="00E04BA6"/>
    <w:rsid w:val="00E079DE"/>
    <w:rsid w:val="00E1019F"/>
    <w:rsid w:val="00E11F38"/>
    <w:rsid w:val="00E12CFB"/>
    <w:rsid w:val="00E13F9E"/>
    <w:rsid w:val="00E14267"/>
    <w:rsid w:val="00E148F1"/>
    <w:rsid w:val="00E15B8A"/>
    <w:rsid w:val="00E15FCB"/>
    <w:rsid w:val="00E1685C"/>
    <w:rsid w:val="00E210C2"/>
    <w:rsid w:val="00E219FC"/>
    <w:rsid w:val="00E21D7F"/>
    <w:rsid w:val="00E22788"/>
    <w:rsid w:val="00E2327C"/>
    <w:rsid w:val="00E23EF7"/>
    <w:rsid w:val="00E23FFA"/>
    <w:rsid w:val="00E25696"/>
    <w:rsid w:val="00E25A0E"/>
    <w:rsid w:val="00E26745"/>
    <w:rsid w:val="00E26D46"/>
    <w:rsid w:val="00E27EC7"/>
    <w:rsid w:val="00E30A8B"/>
    <w:rsid w:val="00E3200D"/>
    <w:rsid w:val="00E32ED6"/>
    <w:rsid w:val="00E34082"/>
    <w:rsid w:val="00E3763A"/>
    <w:rsid w:val="00E47CE5"/>
    <w:rsid w:val="00E47DE9"/>
    <w:rsid w:val="00E54BD4"/>
    <w:rsid w:val="00E56B53"/>
    <w:rsid w:val="00E575A4"/>
    <w:rsid w:val="00E57E03"/>
    <w:rsid w:val="00E6039F"/>
    <w:rsid w:val="00E60FF9"/>
    <w:rsid w:val="00E612E0"/>
    <w:rsid w:val="00E62F6B"/>
    <w:rsid w:val="00E64D73"/>
    <w:rsid w:val="00E6588A"/>
    <w:rsid w:val="00E6618A"/>
    <w:rsid w:val="00E71DD5"/>
    <w:rsid w:val="00E72326"/>
    <w:rsid w:val="00E72CCC"/>
    <w:rsid w:val="00E7477C"/>
    <w:rsid w:val="00E764D2"/>
    <w:rsid w:val="00E76D22"/>
    <w:rsid w:val="00E77060"/>
    <w:rsid w:val="00E77B18"/>
    <w:rsid w:val="00E81159"/>
    <w:rsid w:val="00E82967"/>
    <w:rsid w:val="00E83972"/>
    <w:rsid w:val="00E84ACD"/>
    <w:rsid w:val="00E85A6A"/>
    <w:rsid w:val="00E8683B"/>
    <w:rsid w:val="00E872FE"/>
    <w:rsid w:val="00E90C92"/>
    <w:rsid w:val="00E917E4"/>
    <w:rsid w:val="00E921F6"/>
    <w:rsid w:val="00E935A0"/>
    <w:rsid w:val="00E95054"/>
    <w:rsid w:val="00E952E5"/>
    <w:rsid w:val="00E95953"/>
    <w:rsid w:val="00E95FAC"/>
    <w:rsid w:val="00E96745"/>
    <w:rsid w:val="00E96B9E"/>
    <w:rsid w:val="00EA0E45"/>
    <w:rsid w:val="00EA1F1C"/>
    <w:rsid w:val="00EA232A"/>
    <w:rsid w:val="00EA3C62"/>
    <w:rsid w:val="00EA7957"/>
    <w:rsid w:val="00EA7FA3"/>
    <w:rsid w:val="00EB1038"/>
    <w:rsid w:val="00EB58DD"/>
    <w:rsid w:val="00EB5911"/>
    <w:rsid w:val="00EB7DB8"/>
    <w:rsid w:val="00EC0F4F"/>
    <w:rsid w:val="00EC1688"/>
    <w:rsid w:val="00EC1A87"/>
    <w:rsid w:val="00EC2602"/>
    <w:rsid w:val="00EC2BAD"/>
    <w:rsid w:val="00EC51FE"/>
    <w:rsid w:val="00ED1CD4"/>
    <w:rsid w:val="00ED21AB"/>
    <w:rsid w:val="00ED2410"/>
    <w:rsid w:val="00ED60CA"/>
    <w:rsid w:val="00ED6C34"/>
    <w:rsid w:val="00ED7012"/>
    <w:rsid w:val="00EE0202"/>
    <w:rsid w:val="00EE0488"/>
    <w:rsid w:val="00EE1B22"/>
    <w:rsid w:val="00EE2123"/>
    <w:rsid w:val="00EE34BE"/>
    <w:rsid w:val="00EE3822"/>
    <w:rsid w:val="00EE7A78"/>
    <w:rsid w:val="00EF3C7A"/>
    <w:rsid w:val="00EF414E"/>
    <w:rsid w:val="00EF76DC"/>
    <w:rsid w:val="00F00118"/>
    <w:rsid w:val="00F003B9"/>
    <w:rsid w:val="00F00478"/>
    <w:rsid w:val="00F016B0"/>
    <w:rsid w:val="00F04C63"/>
    <w:rsid w:val="00F05953"/>
    <w:rsid w:val="00F10104"/>
    <w:rsid w:val="00F12838"/>
    <w:rsid w:val="00F14839"/>
    <w:rsid w:val="00F15855"/>
    <w:rsid w:val="00F1632F"/>
    <w:rsid w:val="00F22D6B"/>
    <w:rsid w:val="00F240FC"/>
    <w:rsid w:val="00F25C03"/>
    <w:rsid w:val="00F2710B"/>
    <w:rsid w:val="00F2799D"/>
    <w:rsid w:val="00F27BC9"/>
    <w:rsid w:val="00F301D6"/>
    <w:rsid w:val="00F30B95"/>
    <w:rsid w:val="00F32A4C"/>
    <w:rsid w:val="00F32AD6"/>
    <w:rsid w:val="00F33056"/>
    <w:rsid w:val="00F3326A"/>
    <w:rsid w:val="00F34AF9"/>
    <w:rsid w:val="00F36092"/>
    <w:rsid w:val="00F365EA"/>
    <w:rsid w:val="00F36874"/>
    <w:rsid w:val="00F368F1"/>
    <w:rsid w:val="00F419CB"/>
    <w:rsid w:val="00F43679"/>
    <w:rsid w:val="00F439A3"/>
    <w:rsid w:val="00F44A85"/>
    <w:rsid w:val="00F450BC"/>
    <w:rsid w:val="00F45FE7"/>
    <w:rsid w:val="00F466BB"/>
    <w:rsid w:val="00F4732F"/>
    <w:rsid w:val="00F503E8"/>
    <w:rsid w:val="00F5175B"/>
    <w:rsid w:val="00F51A85"/>
    <w:rsid w:val="00F53176"/>
    <w:rsid w:val="00F55237"/>
    <w:rsid w:val="00F5605E"/>
    <w:rsid w:val="00F56B29"/>
    <w:rsid w:val="00F56D5B"/>
    <w:rsid w:val="00F57842"/>
    <w:rsid w:val="00F6114B"/>
    <w:rsid w:val="00F62148"/>
    <w:rsid w:val="00F626CF"/>
    <w:rsid w:val="00F631B0"/>
    <w:rsid w:val="00F63342"/>
    <w:rsid w:val="00F655CB"/>
    <w:rsid w:val="00F70B91"/>
    <w:rsid w:val="00F70FE3"/>
    <w:rsid w:val="00F715DE"/>
    <w:rsid w:val="00F72631"/>
    <w:rsid w:val="00F74ACA"/>
    <w:rsid w:val="00F74DDD"/>
    <w:rsid w:val="00F76FEF"/>
    <w:rsid w:val="00F82813"/>
    <w:rsid w:val="00F8339E"/>
    <w:rsid w:val="00F83FB0"/>
    <w:rsid w:val="00F84DB5"/>
    <w:rsid w:val="00F867E4"/>
    <w:rsid w:val="00F87276"/>
    <w:rsid w:val="00F879DB"/>
    <w:rsid w:val="00F87A48"/>
    <w:rsid w:val="00F87C72"/>
    <w:rsid w:val="00F90555"/>
    <w:rsid w:val="00F9276B"/>
    <w:rsid w:val="00FA127B"/>
    <w:rsid w:val="00FA1EFB"/>
    <w:rsid w:val="00FA2900"/>
    <w:rsid w:val="00FA46BC"/>
    <w:rsid w:val="00FA5673"/>
    <w:rsid w:val="00FA5A4C"/>
    <w:rsid w:val="00FA713F"/>
    <w:rsid w:val="00FA7FA7"/>
    <w:rsid w:val="00FAE443"/>
    <w:rsid w:val="00FB21E1"/>
    <w:rsid w:val="00FB2470"/>
    <w:rsid w:val="00FB259F"/>
    <w:rsid w:val="00FB4B0F"/>
    <w:rsid w:val="00FB585E"/>
    <w:rsid w:val="00FB5A83"/>
    <w:rsid w:val="00FB6BBE"/>
    <w:rsid w:val="00FB7419"/>
    <w:rsid w:val="00FB795C"/>
    <w:rsid w:val="00FC0B4B"/>
    <w:rsid w:val="00FC1FB9"/>
    <w:rsid w:val="00FC4B6C"/>
    <w:rsid w:val="00FC5672"/>
    <w:rsid w:val="00FC57BD"/>
    <w:rsid w:val="00FC5A03"/>
    <w:rsid w:val="00FC5DCE"/>
    <w:rsid w:val="00FD3701"/>
    <w:rsid w:val="00FD46E3"/>
    <w:rsid w:val="00FD48D9"/>
    <w:rsid w:val="00FD5C25"/>
    <w:rsid w:val="00FE12F3"/>
    <w:rsid w:val="00FE28E0"/>
    <w:rsid w:val="00FE58D8"/>
    <w:rsid w:val="00FE6657"/>
    <w:rsid w:val="00FE68C5"/>
    <w:rsid w:val="00FE69BC"/>
    <w:rsid w:val="00FE76F2"/>
    <w:rsid w:val="00FF1DB7"/>
    <w:rsid w:val="00FF1F8C"/>
    <w:rsid w:val="00FF2481"/>
    <w:rsid w:val="00FF548E"/>
    <w:rsid w:val="00FF712B"/>
    <w:rsid w:val="0137019A"/>
    <w:rsid w:val="01D02F77"/>
    <w:rsid w:val="01D3C35C"/>
    <w:rsid w:val="03C655D3"/>
    <w:rsid w:val="04039A33"/>
    <w:rsid w:val="04704900"/>
    <w:rsid w:val="04BA6673"/>
    <w:rsid w:val="04DA12F0"/>
    <w:rsid w:val="0557D889"/>
    <w:rsid w:val="0561CAFA"/>
    <w:rsid w:val="0610AD29"/>
    <w:rsid w:val="069EEBE6"/>
    <w:rsid w:val="09D9E50F"/>
    <w:rsid w:val="09FEDFDB"/>
    <w:rsid w:val="0ADC1486"/>
    <w:rsid w:val="0B6659BF"/>
    <w:rsid w:val="0BF07404"/>
    <w:rsid w:val="0C01C8B9"/>
    <w:rsid w:val="0EAA191F"/>
    <w:rsid w:val="0F1CCC00"/>
    <w:rsid w:val="0F635C71"/>
    <w:rsid w:val="0FD6594F"/>
    <w:rsid w:val="10D767E9"/>
    <w:rsid w:val="1124AC5D"/>
    <w:rsid w:val="118297F8"/>
    <w:rsid w:val="11F8EBA3"/>
    <w:rsid w:val="122A8C3C"/>
    <w:rsid w:val="12CCDF9B"/>
    <w:rsid w:val="13166BF2"/>
    <w:rsid w:val="131E6859"/>
    <w:rsid w:val="13699E2F"/>
    <w:rsid w:val="13A82502"/>
    <w:rsid w:val="13ABA3DA"/>
    <w:rsid w:val="13EBFB45"/>
    <w:rsid w:val="13FA8048"/>
    <w:rsid w:val="142462DD"/>
    <w:rsid w:val="14B0EEE7"/>
    <w:rsid w:val="153E7405"/>
    <w:rsid w:val="15D6148B"/>
    <w:rsid w:val="1671D638"/>
    <w:rsid w:val="167C9956"/>
    <w:rsid w:val="167FB5C0"/>
    <w:rsid w:val="16F3FA7C"/>
    <w:rsid w:val="170ECD4B"/>
    <w:rsid w:val="17173091"/>
    <w:rsid w:val="17D88D26"/>
    <w:rsid w:val="17E7EF90"/>
    <w:rsid w:val="18553BB3"/>
    <w:rsid w:val="18BE3BA6"/>
    <w:rsid w:val="191A3EAD"/>
    <w:rsid w:val="19EF311A"/>
    <w:rsid w:val="1BBE70FA"/>
    <w:rsid w:val="1BE65E52"/>
    <w:rsid w:val="1BECDF2A"/>
    <w:rsid w:val="1C8E61F9"/>
    <w:rsid w:val="1C9479A1"/>
    <w:rsid w:val="1D18F419"/>
    <w:rsid w:val="1E2CAA66"/>
    <w:rsid w:val="20D27E8E"/>
    <w:rsid w:val="215C9608"/>
    <w:rsid w:val="217FDD28"/>
    <w:rsid w:val="220549CF"/>
    <w:rsid w:val="22B051E0"/>
    <w:rsid w:val="2397B879"/>
    <w:rsid w:val="23C1BBA7"/>
    <w:rsid w:val="23CDCDAD"/>
    <w:rsid w:val="2440F975"/>
    <w:rsid w:val="2491FDD3"/>
    <w:rsid w:val="24A058B0"/>
    <w:rsid w:val="251894A0"/>
    <w:rsid w:val="253133D3"/>
    <w:rsid w:val="2569F797"/>
    <w:rsid w:val="25D0DF0D"/>
    <w:rsid w:val="25F61DA7"/>
    <w:rsid w:val="265BC1F2"/>
    <w:rsid w:val="26610DA4"/>
    <w:rsid w:val="26DC4B9A"/>
    <w:rsid w:val="2732B9C6"/>
    <w:rsid w:val="273F5648"/>
    <w:rsid w:val="27C8E62A"/>
    <w:rsid w:val="27F6FE8D"/>
    <w:rsid w:val="2801D2FE"/>
    <w:rsid w:val="28A4D98C"/>
    <w:rsid w:val="28D9FD2D"/>
    <w:rsid w:val="2A92327E"/>
    <w:rsid w:val="2AADC2FF"/>
    <w:rsid w:val="2AC7CB06"/>
    <w:rsid w:val="2BC36DBA"/>
    <w:rsid w:val="2BC967FA"/>
    <w:rsid w:val="2CF759F4"/>
    <w:rsid w:val="2E304F1D"/>
    <w:rsid w:val="2E78A4DA"/>
    <w:rsid w:val="2EB12C59"/>
    <w:rsid w:val="2ED02D92"/>
    <w:rsid w:val="2F381AB6"/>
    <w:rsid w:val="2F81E5FC"/>
    <w:rsid w:val="2FD38263"/>
    <w:rsid w:val="2FF53B33"/>
    <w:rsid w:val="30AD17A4"/>
    <w:rsid w:val="30D034CF"/>
    <w:rsid w:val="31113989"/>
    <w:rsid w:val="315A279B"/>
    <w:rsid w:val="318B800D"/>
    <w:rsid w:val="32671BCA"/>
    <w:rsid w:val="32F83E06"/>
    <w:rsid w:val="3549AFFB"/>
    <w:rsid w:val="357EC7FC"/>
    <w:rsid w:val="35ACF9A2"/>
    <w:rsid w:val="37C4BDF8"/>
    <w:rsid w:val="380DE013"/>
    <w:rsid w:val="383C526B"/>
    <w:rsid w:val="38CCA6D2"/>
    <w:rsid w:val="39160C70"/>
    <w:rsid w:val="3B662785"/>
    <w:rsid w:val="3BDBE261"/>
    <w:rsid w:val="3D06D1A8"/>
    <w:rsid w:val="3ED839BA"/>
    <w:rsid w:val="3EEDE45A"/>
    <w:rsid w:val="3F42687A"/>
    <w:rsid w:val="403A1737"/>
    <w:rsid w:val="40D730EE"/>
    <w:rsid w:val="41CEE4D1"/>
    <w:rsid w:val="41EC56A7"/>
    <w:rsid w:val="42A7BF63"/>
    <w:rsid w:val="433CF858"/>
    <w:rsid w:val="4355DED2"/>
    <w:rsid w:val="43C5CB42"/>
    <w:rsid w:val="44E31E27"/>
    <w:rsid w:val="452EA2F2"/>
    <w:rsid w:val="4554A8CC"/>
    <w:rsid w:val="457013B0"/>
    <w:rsid w:val="4744083C"/>
    <w:rsid w:val="47E56D83"/>
    <w:rsid w:val="48587672"/>
    <w:rsid w:val="486048CF"/>
    <w:rsid w:val="4A4A5ACB"/>
    <w:rsid w:val="4B72D45A"/>
    <w:rsid w:val="4B9A775A"/>
    <w:rsid w:val="4C1417A3"/>
    <w:rsid w:val="4CC3C099"/>
    <w:rsid w:val="4D69FBD1"/>
    <w:rsid w:val="4DCAB1D3"/>
    <w:rsid w:val="4E3E4F55"/>
    <w:rsid w:val="4EF97375"/>
    <w:rsid w:val="4FB6F1E0"/>
    <w:rsid w:val="50ED3C04"/>
    <w:rsid w:val="51A98921"/>
    <w:rsid w:val="51FBE2AF"/>
    <w:rsid w:val="52383212"/>
    <w:rsid w:val="523B7FDA"/>
    <w:rsid w:val="52607EAC"/>
    <w:rsid w:val="52CBAE32"/>
    <w:rsid w:val="5321FC38"/>
    <w:rsid w:val="54D968F1"/>
    <w:rsid w:val="55924632"/>
    <w:rsid w:val="55FE596B"/>
    <w:rsid w:val="57467E7C"/>
    <w:rsid w:val="575F827E"/>
    <w:rsid w:val="57CBB6DA"/>
    <w:rsid w:val="584E4673"/>
    <w:rsid w:val="5876C72D"/>
    <w:rsid w:val="5879A950"/>
    <w:rsid w:val="588F1534"/>
    <w:rsid w:val="5904D6BD"/>
    <w:rsid w:val="5A407034"/>
    <w:rsid w:val="5AF8B349"/>
    <w:rsid w:val="5B3B6FA4"/>
    <w:rsid w:val="5B8DDD4D"/>
    <w:rsid w:val="5CEE54E2"/>
    <w:rsid w:val="5D09FB86"/>
    <w:rsid w:val="5DA29320"/>
    <w:rsid w:val="5E2D0FA7"/>
    <w:rsid w:val="5E2E42FB"/>
    <w:rsid w:val="5ED186EF"/>
    <w:rsid w:val="5F33C0E3"/>
    <w:rsid w:val="60965046"/>
    <w:rsid w:val="60A17F59"/>
    <w:rsid w:val="60C54FD2"/>
    <w:rsid w:val="632E5E25"/>
    <w:rsid w:val="634E20FC"/>
    <w:rsid w:val="637E3416"/>
    <w:rsid w:val="63E120FB"/>
    <w:rsid w:val="64BF34B9"/>
    <w:rsid w:val="6525DE83"/>
    <w:rsid w:val="656C6096"/>
    <w:rsid w:val="656FE878"/>
    <w:rsid w:val="65DFA613"/>
    <w:rsid w:val="66B0F39B"/>
    <w:rsid w:val="6740B034"/>
    <w:rsid w:val="677CDEB0"/>
    <w:rsid w:val="679E1460"/>
    <w:rsid w:val="67CC8FA5"/>
    <w:rsid w:val="6917CD21"/>
    <w:rsid w:val="69B7D7F2"/>
    <w:rsid w:val="6B476A0A"/>
    <w:rsid w:val="6B6EBB19"/>
    <w:rsid w:val="6BE6FF66"/>
    <w:rsid w:val="6C4A6831"/>
    <w:rsid w:val="6D288C58"/>
    <w:rsid w:val="6DD5A192"/>
    <w:rsid w:val="6E1E3B92"/>
    <w:rsid w:val="6E853C82"/>
    <w:rsid w:val="6EED2D26"/>
    <w:rsid w:val="6FBBC293"/>
    <w:rsid w:val="6FE202CD"/>
    <w:rsid w:val="701E87C5"/>
    <w:rsid w:val="702F6406"/>
    <w:rsid w:val="70FB00AD"/>
    <w:rsid w:val="710AE4DF"/>
    <w:rsid w:val="71274435"/>
    <w:rsid w:val="71B327E8"/>
    <w:rsid w:val="7243CAEF"/>
    <w:rsid w:val="74623273"/>
    <w:rsid w:val="747703B7"/>
    <w:rsid w:val="74779E13"/>
    <w:rsid w:val="76481BD4"/>
    <w:rsid w:val="764FB1F6"/>
    <w:rsid w:val="764FC37E"/>
    <w:rsid w:val="7660C5A8"/>
    <w:rsid w:val="77302DC4"/>
    <w:rsid w:val="777D872D"/>
    <w:rsid w:val="77C633F7"/>
    <w:rsid w:val="7907B715"/>
    <w:rsid w:val="79138AD6"/>
    <w:rsid w:val="79523A10"/>
    <w:rsid w:val="796E1C19"/>
    <w:rsid w:val="7A5B5B0E"/>
    <w:rsid w:val="7A8C5F42"/>
    <w:rsid w:val="7B5ED217"/>
    <w:rsid w:val="7BC67DAB"/>
    <w:rsid w:val="7BD3627B"/>
    <w:rsid w:val="7C7F6B6E"/>
    <w:rsid w:val="7C925F90"/>
    <w:rsid w:val="7CC82250"/>
    <w:rsid w:val="7D04D274"/>
    <w:rsid w:val="7D06711C"/>
    <w:rsid w:val="7D36E737"/>
    <w:rsid w:val="7DEE3300"/>
    <w:rsid w:val="7EB2DACA"/>
    <w:rsid w:val="7EB478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A676A433-BC97-47DC-9D93-76BA67A5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normaltextrun">
    <w:name w:val="normaltextrun"/>
    <w:basedOn w:val="DefaultParagraphFont"/>
    <w:rsid w:val="00891733"/>
  </w:style>
  <w:style w:type="paragraph" w:styleId="BalloonText">
    <w:name w:val="Balloon Text"/>
    <w:basedOn w:val="Normal"/>
    <w:link w:val="BalloonTextChar"/>
    <w:uiPriority w:val="99"/>
    <w:semiHidden/>
    <w:unhideWhenUsed/>
    <w:rsid w:val="00290C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C29"/>
    <w:rPr>
      <w:rFonts w:ascii="Segoe UI" w:hAnsi="Segoe UI" w:cs="Segoe UI"/>
      <w:sz w:val="18"/>
      <w:szCs w:val="18"/>
    </w:rPr>
  </w:style>
  <w:style w:type="character" w:styleId="CommentReference">
    <w:name w:val="annotation reference"/>
    <w:basedOn w:val="DefaultParagraphFont"/>
    <w:uiPriority w:val="99"/>
    <w:semiHidden/>
    <w:unhideWhenUsed/>
    <w:rsid w:val="009B3D0D"/>
    <w:rPr>
      <w:sz w:val="16"/>
      <w:szCs w:val="16"/>
    </w:rPr>
  </w:style>
  <w:style w:type="paragraph" w:styleId="CommentText">
    <w:name w:val="annotation text"/>
    <w:basedOn w:val="Normal"/>
    <w:link w:val="CommentTextChar"/>
    <w:uiPriority w:val="99"/>
    <w:unhideWhenUsed/>
    <w:rsid w:val="009B3D0D"/>
    <w:pPr>
      <w:spacing w:line="240" w:lineRule="auto"/>
    </w:pPr>
    <w:rPr>
      <w:sz w:val="20"/>
      <w:szCs w:val="20"/>
    </w:rPr>
  </w:style>
  <w:style w:type="character" w:customStyle="1" w:styleId="CommentTextChar">
    <w:name w:val="Comment Text Char"/>
    <w:basedOn w:val="DefaultParagraphFont"/>
    <w:link w:val="CommentText"/>
    <w:uiPriority w:val="99"/>
    <w:rsid w:val="009B3D0D"/>
    <w:rPr>
      <w:sz w:val="20"/>
      <w:szCs w:val="20"/>
    </w:rPr>
  </w:style>
  <w:style w:type="paragraph" w:styleId="CommentSubject">
    <w:name w:val="annotation subject"/>
    <w:basedOn w:val="CommentText"/>
    <w:next w:val="CommentText"/>
    <w:link w:val="CommentSubjectChar"/>
    <w:uiPriority w:val="99"/>
    <w:semiHidden/>
    <w:unhideWhenUsed/>
    <w:rsid w:val="009B3D0D"/>
    <w:rPr>
      <w:b/>
      <w:bCs/>
    </w:rPr>
  </w:style>
  <w:style w:type="character" w:customStyle="1" w:styleId="CommentSubjectChar">
    <w:name w:val="Comment Subject Char"/>
    <w:basedOn w:val="CommentTextChar"/>
    <w:link w:val="CommentSubject"/>
    <w:uiPriority w:val="99"/>
    <w:semiHidden/>
    <w:rsid w:val="009B3D0D"/>
    <w:rPr>
      <w:b/>
      <w:bCs/>
      <w:sz w:val="20"/>
      <w:szCs w:val="20"/>
    </w:rPr>
  </w:style>
  <w:style w:type="paragraph" w:styleId="FootnoteText">
    <w:name w:val="footnote text"/>
    <w:basedOn w:val="Normal"/>
    <w:link w:val="FootnoteTextChar"/>
    <w:uiPriority w:val="99"/>
    <w:semiHidden/>
    <w:unhideWhenUsed/>
    <w:rsid w:val="008D47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7DC"/>
    <w:rPr>
      <w:sz w:val="20"/>
      <w:szCs w:val="20"/>
    </w:rPr>
  </w:style>
  <w:style w:type="character" w:styleId="FootnoteReference">
    <w:name w:val="footnote reference"/>
    <w:basedOn w:val="DefaultParagraphFont"/>
    <w:uiPriority w:val="99"/>
    <w:semiHidden/>
    <w:unhideWhenUsed/>
    <w:rsid w:val="008D47DC"/>
    <w:rPr>
      <w:vertAlign w:val="superscript"/>
    </w:rPr>
  </w:style>
  <w:style w:type="paragraph" w:customStyle="1" w:styleId="Default">
    <w:name w:val="Default"/>
    <w:rsid w:val="007F0E37"/>
    <w:pPr>
      <w:autoSpaceDE w:val="0"/>
      <w:autoSpaceDN w:val="0"/>
      <w:adjustRightInd w:val="0"/>
      <w:spacing w:after="0" w:line="240" w:lineRule="auto"/>
    </w:pPr>
    <w:rPr>
      <w:rFonts w:ascii="Calibri" w:hAnsi="Calibri" w:cs="Calibri"/>
      <w:color w:val="000000"/>
      <w:sz w:val="24"/>
      <w:szCs w:val="24"/>
    </w:rPr>
  </w:style>
  <w:style w:type="character" w:customStyle="1" w:styleId="spellingerror">
    <w:name w:val="spellingerror"/>
    <w:basedOn w:val="DefaultParagraphFont"/>
    <w:rsid w:val="00CB51C3"/>
  </w:style>
  <w:style w:type="character" w:customStyle="1" w:styleId="normaltextrun1">
    <w:name w:val="normaltextrun1"/>
    <w:basedOn w:val="DefaultParagraphFont"/>
    <w:rsid w:val="00CB51C3"/>
  </w:style>
  <w:style w:type="paragraph" w:styleId="NoSpacing">
    <w:name w:val="No Spacing"/>
    <w:uiPriority w:val="1"/>
    <w:qFormat/>
    <w:rsid w:val="004E658F"/>
    <w:pPr>
      <w:spacing w:after="0" w:line="240" w:lineRule="auto"/>
    </w:pPr>
  </w:style>
  <w:style w:type="character" w:customStyle="1" w:styleId="ListParagraphChar">
    <w:name w:val="List Paragraph Char"/>
    <w:basedOn w:val="DefaultParagraphFont"/>
    <w:link w:val="ListParagraph"/>
    <w:uiPriority w:val="34"/>
    <w:locked/>
    <w:rsid w:val="00C93A2B"/>
  </w:style>
  <w:style w:type="paragraph" w:customStyle="1" w:styleId="paragraph">
    <w:name w:val="paragraph"/>
    <w:basedOn w:val="Normal"/>
    <w:rsid w:val="00B04B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5208C"/>
    <w:pPr>
      <w:spacing w:after="0" w:line="240" w:lineRule="auto"/>
    </w:pPr>
  </w:style>
  <w:style w:type="character" w:customStyle="1" w:styleId="eop">
    <w:name w:val="eop"/>
    <w:basedOn w:val="DefaultParagraphFont"/>
    <w:rsid w:val="00CD1B0B"/>
  </w:style>
  <w:style w:type="character" w:styleId="Strong">
    <w:name w:val="Strong"/>
    <w:basedOn w:val="DefaultParagraphFont"/>
    <w:uiPriority w:val="22"/>
    <w:qFormat/>
    <w:rsid w:val="00C012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59612">
      <w:bodyDiv w:val="1"/>
      <w:marLeft w:val="0"/>
      <w:marRight w:val="0"/>
      <w:marTop w:val="0"/>
      <w:marBottom w:val="0"/>
      <w:divBdr>
        <w:top w:val="none" w:sz="0" w:space="0" w:color="auto"/>
        <w:left w:val="none" w:sz="0" w:space="0" w:color="auto"/>
        <w:bottom w:val="none" w:sz="0" w:space="0" w:color="auto"/>
        <w:right w:val="none" w:sz="0" w:space="0" w:color="auto"/>
      </w:divBdr>
    </w:div>
    <w:div w:id="423309325">
      <w:bodyDiv w:val="1"/>
      <w:marLeft w:val="0"/>
      <w:marRight w:val="0"/>
      <w:marTop w:val="0"/>
      <w:marBottom w:val="0"/>
      <w:divBdr>
        <w:top w:val="none" w:sz="0" w:space="0" w:color="auto"/>
        <w:left w:val="none" w:sz="0" w:space="0" w:color="auto"/>
        <w:bottom w:val="none" w:sz="0" w:space="0" w:color="auto"/>
        <w:right w:val="none" w:sz="0" w:space="0" w:color="auto"/>
      </w:divBdr>
    </w:div>
    <w:div w:id="428502068">
      <w:bodyDiv w:val="1"/>
      <w:marLeft w:val="0"/>
      <w:marRight w:val="0"/>
      <w:marTop w:val="0"/>
      <w:marBottom w:val="0"/>
      <w:divBdr>
        <w:top w:val="none" w:sz="0" w:space="0" w:color="auto"/>
        <w:left w:val="none" w:sz="0" w:space="0" w:color="auto"/>
        <w:bottom w:val="none" w:sz="0" w:space="0" w:color="auto"/>
        <w:right w:val="none" w:sz="0" w:space="0" w:color="auto"/>
      </w:divBdr>
    </w:div>
    <w:div w:id="506986665">
      <w:bodyDiv w:val="1"/>
      <w:marLeft w:val="0"/>
      <w:marRight w:val="0"/>
      <w:marTop w:val="0"/>
      <w:marBottom w:val="0"/>
      <w:divBdr>
        <w:top w:val="none" w:sz="0" w:space="0" w:color="auto"/>
        <w:left w:val="none" w:sz="0" w:space="0" w:color="auto"/>
        <w:bottom w:val="none" w:sz="0" w:space="0" w:color="auto"/>
        <w:right w:val="none" w:sz="0" w:space="0" w:color="auto"/>
      </w:divBdr>
    </w:div>
    <w:div w:id="804128384">
      <w:bodyDiv w:val="1"/>
      <w:marLeft w:val="0"/>
      <w:marRight w:val="0"/>
      <w:marTop w:val="0"/>
      <w:marBottom w:val="0"/>
      <w:divBdr>
        <w:top w:val="none" w:sz="0" w:space="0" w:color="auto"/>
        <w:left w:val="none" w:sz="0" w:space="0" w:color="auto"/>
        <w:bottom w:val="none" w:sz="0" w:space="0" w:color="auto"/>
        <w:right w:val="none" w:sz="0" w:space="0" w:color="auto"/>
      </w:divBdr>
    </w:div>
    <w:div w:id="829098279">
      <w:bodyDiv w:val="1"/>
      <w:marLeft w:val="0"/>
      <w:marRight w:val="0"/>
      <w:marTop w:val="0"/>
      <w:marBottom w:val="0"/>
      <w:divBdr>
        <w:top w:val="none" w:sz="0" w:space="0" w:color="auto"/>
        <w:left w:val="none" w:sz="0" w:space="0" w:color="auto"/>
        <w:bottom w:val="none" w:sz="0" w:space="0" w:color="auto"/>
        <w:right w:val="none" w:sz="0" w:space="0" w:color="auto"/>
      </w:divBdr>
    </w:div>
    <w:div w:id="907111709">
      <w:bodyDiv w:val="1"/>
      <w:marLeft w:val="0"/>
      <w:marRight w:val="0"/>
      <w:marTop w:val="0"/>
      <w:marBottom w:val="0"/>
      <w:divBdr>
        <w:top w:val="none" w:sz="0" w:space="0" w:color="auto"/>
        <w:left w:val="none" w:sz="0" w:space="0" w:color="auto"/>
        <w:bottom w:val="none" w:sz="0" w:space="0" w:color="auto"/>
        <w:right w:val="none" w:sz="0" w:space="0" w:color="auto"/>
      </w:divBdr>
    </w:div>
    <w:div w:id="1278489500">
      <w:bodyDiv w:val="1"/>
      <w:marLeft w:val="0"/>
      <w:marRight w:val="0"/>
      <w:marTop w:val="0"/>
      <w:marBottom w:val="0"/>
      <w:divBdr>
        <w:top w:val="none" w:sz="0" w:space="0" w:color="auto"/>
        <w:left w:val="none" w:sz="0" w:space="0" w:color="auto"/>
        <w:bottom w:val="none" w:sz="0" w:space="0" w:color="auto"/>
        <w:right w:val="none" w:sz="0" w:space="0" w:color="auto"/>
      </w:divBdr>
    </w:div>
    <w:div w:id="1310748596">
      <w:bodyDiv w:val="1"/>
      <w:marLeft w:val="0"/>
      <w:marRight w:val="0"/>
      <w:marTop w:val="0"/>
      <w:marBottom w:val="0"/>
      <w:divBdr>
        <w:top w:val="none" w:sz="0" w:space="0" w:color="auto"/>
        <w:left w:val="none" w:sz="0" w:space="0" w:color="auto"/>
        <w:bottom w:val="none" w:sz="0" w:space="0" w:color="auto"/>
        <w:right w:val="none" w:sz="0" w:space="0" w:color="auto"/>
      </w:divBdr>
    </w:div>
    <w:div w:id="1386104208">
      <w:bodyDiv w:val="1"/>
      <w:marLeft w:val="0"/>
      <w:marRight w:val="0"/>
      <w:marTop w:val="0"/>
      <w:marBottom w:val="0"/>
      <w:divBdr>
        <w:top w:val="none" w:sz="0" w:space="0" w:color="auto"/>
        <w:left w:val="none" w:sz="0" w:space="0" w:color="auto"/>
        <w:bottom w:val="none" w:sz="0" w:space="0" w:color="auto"/>
        <w:right w:val="none" w:sz="0" w:space="0" w:color="auto"/>
      </w:divBdr>
    </w:div>
    <w:div w:id="1505123412">
      <w:bodyDiv w:val="1"/>
      <w:marLeft w:val="0"/>
      <w:marRight w:val="0"/>
      <w:marTop w:val="0"/>
      <w:marBottom w:val="0"/>
      <w:divBdr>
        <w:top w:val="none" w:sz="0" w:space="0" w:color="auto"/>
        <w:left w:val="none" w:sz="0" w:space="0" w:color="auto"/>
        <w:bottom w:val="none" w:sz="0" w:space="0" w:color="auto"/>
        <w:right w:val="none" w:sz="0" w:space="0" w:color="auto"/>
      </w:divBdr>
    </w:div>
    <w:div w:id="1608661356">
      <w:bodyDiv w:val="1"/>
      <w:marLeft w:val="0"/>
      <w:marRight w:val="0"/>
      <w:marTop w:val="0"/>
      <w:marBottom w:val="0"/>
      <w:divBdr>
        <w:top w:val="none" w:sz="0" w:space="0" w:color="auto"/>
        <w:left w:val="none" w:sz="0" w:space="0" w:color="auto"/>
        <w:bottom w:val="none" w:sz="0" w:space="0" w:color="auto"/>
        <w:right w:val="none" w:sz="0" w:space="0" w:color="auto"/>
      </w:divBdr>
    </w:div>
    <w:div w:id="1672757751">
      <w:bodyDiv w:val="1"/>
      <w:marLeft w:val="0"/>
      <w:marRight w:val="0"/>
      <w:marTop w:val="0"/>
      <w:marBottom w:val="0"/>
      <w:divBdr>
        <w:top w:val="none" w:sz="0" w:space="0" w:color="auto"/>
        <w:left w:val="none" w:sz="0" w:space="0" w:color="auto"/>
        <w:bottom w:val="none" w:sz="0" w:space="0" w:color="auto"/>
        <w:right w:val="none" w:sz="0" w:space="0" w:color="auto"/>
      </w:divBdr>
    </w:div>
    <w:div w:id="1896892081">
      <w:bodyDiv w:val="1"/>
      <w:marLeft w:val="0"/>
      <w:marRight w:val="0"/>
      <w:marTop w:val="0"/>
      <w:marBottom w:val="0"/>
      <w:divBdr>
        <w:top w:val="none" w:sz="0" w:space="0" w:color="auto"/>
        <w:left w:val="none" w:sz="0" w:space="0" w:color="auto"/>
        <w:bottom w:val="none" w:sz="0" w:space="0" w:color="auto"/>
        <w:right w:val="none" w:sz="0" w:space="0" w:color="auto"/>
      </w:divBdr>
      <w:divsChild>
        <w:div w:id="804929233">
          <w:marLeft w:val="360"/>
          <w:marRight w:val="0"/>
          <w:marTop w:val="200"/>
          <w:marBottom w:val="0"/>
          <w:divBdr>
            <w:top w:val="none" w:sz="0" w:space="0" w:color="auto"/>
            <w:left w:val="none" w:sz="0" w:space="0" w:color="auto"/>
            <w:bottom w:val="none" w:sz="0" w:space="0" w:color="auto"/>
            <w:right w:val="none" w:sz="0" w:space="0" w:color="auto"/>
          </w:divBdr>
        </w:div>
        <w:div w:id="933708368">
          <w:marLeft w:val="360"/>
          <w:marRight w:val="0"/>
          <w:marTop w:val="200"/>
          <w:marBottom w:val="0"/>
          <w:divBdr>
            <w:top w:val="none" w:sz="0" w:space="0" w:color="auto"/>
            <w:left w:val="none" w:sz="0" w:space="0" w:color="auto"/>
            <w:bottom w:val="none" w:sz="0" w:space="0" w:color="auto"/>
            <w:right w:val="none" w:sz="0" w:space="0" w:color="auto"/>
          </w:divBdr>
        </w:div>
        <w:div w:id="572665018">
          <w:marLeft w:val="360"/>
          <w:marRight w:val="0"/>
          <w:marTop w:val="200"/>
          <w:marBottom w:val="0"/>
          <w:divBdr>
            <w:top w:val="none" w:sz="0" w:space="0" w:color="auto"/>
            <w:left w:val="none" w:sz="0" w:space="0" w:color="auto"/>
            <w:bottom w:val="none" w:sz="0" w:space="0" w:color="auto"/>
            <w:right w:val="none" w:sz="0" w:space="0" w:color="auto"/>
          </w:divBdr>
        </w:div>
      </w:divsChild>
    </w:div>
    <w:div w:id="1907761297">
      <w:bodyDiv w:val="1"/>
      <w:marLeft w:val="0"/>
      <w:marRight w:val="0"/>
      <w:marTop w:val="0"/>
      <w:marBottom w:val="0"/>
      <w:divBdr>
        <w:top w:val="none" w:sz="0" w:space="0" w:color="auto"/>
        <w:left w:val="none" w:sz="0" w:space="0" w:color="auto"/>
        <w:bottom w:val="none" w:sz="0" w:space="0" w:color="auto"/>
        <w:right w:val="none" w:sz="0" w:space="0" w:color="auto"/>
      </w:divBdr>
    </w:div>
    <w:div w:id="212299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D080B90BAB2B42BD57BE18E6D6F96C" ma:contentTypeVersion="7" ma:contentTypeDescription="Create a new document." ma:contentTypeScope="" ma:versionID="fddf5578fb74edd58dd0cbb2df2efffc">
  <xsd:schema xmlns:xsd="http://www.w3.org/2001/XMLSchema" xmlns:xs="http://www.w3.org/2001/XMLSchema" xmlns:p="http://schemas.microsoft.com/office/2006/metadata/properties" xmlns:ns3="c08c8ef0-f64b-418b-9c2f-5338dcdf28cf" xmlns:ns4="047cabce-3c62-4da5-9b17-6676d728339f" targetNamespace="http://schemas.microsoft.com/office/2006/metadata/properties" ma:root="true" ma:fieldsID="f10863a76bceffdba9e3616bac4c9b53" ns3:_="" ns4:_="">
    <xsd:import namespace="c08c8ef0-f64b-418b-9c2f-5338dcdf28cf"/>
    <xsd:import namespace="047cabce-3c62-4da5-9b17-6676d72833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c8ef0-f64b-418b-9c2f-5338dcdf2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cabce-3c62-4da5-9b17-6676d72833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4DD92-8DB4-456B-9531-A2EA1A5D3569}">
  <ds:schemaRefs>
    <ds:schemaRef ds:uri="http://schemas.openxmlformats.org/officeDocument/2006/bibliography"/>
  </ds:schemaRefs>
</ds:datastoreItem>
</file>

<file path=customXml/itemProps2.xml><?xml version="1.0" encoding="utf-8"?>
<ds:datastoreItem xmlns:ds="http://schemas.openxmlformats.org/officeDocument/2006/customXml" ds:itemID="{CD3FB682-3A81-416A-9E10-CC8BE5D0E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c8ef0-f64b-418b-9c2f-5338dcdf28cf"/>
    <ds:schemaRef ds:uri="047cabce-3c62-4da5-9b17-6676d7283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D90962-F664-4005-8BE8-078BB5AAFEE9}">
  <ds:schemaRefs>
    <ds:schemaRef ds:uri="047cabce-3c62-4da5-9b17-6676d728339f"/>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c08c8ef0-f64b-418b-9c2f-5338dcdf28cf"/>
    <ds:schemaRef ds:uri="http://purl.org/dc/dcmitype/"/>
  </ds:schemaRefs>
</ds:datastoreItem>
</file>

<file path=customXml/itemProps4.xml><?xml version="1.0" encoding="utf-8"?>
<ds:datastoreItem xmlns:ds="http://schemas.openxmlformats.org/officeDocument/2006/customXml" ds:itemID="{2D3F143F-E406-4CEB-955C-8554ADC660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2864</Words>
  <Characters>16326</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10</cp:revision>
  <cp:lastPrinted>2020-02-14T21:42:00Z</cp:lastPrinted>
  <dcterms:created xsi:type="dcterms:W3CDTF">2022-07-06T18:27:00Z</dcterms:created>
  <dcterms:modified xsi:type="dcterms:W3CDTF">2023-01-19T16:15:00Z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0x0101004DD080B90BAB2B42BD57BE18E6D6F96C</vt:lpwstr>
  </property>
</Properties>
</file>