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261"/>
        <w:gridCol w:w="1701"/>
      </w:tblGrid>
      <w:tr w:rsidR="008A753B" w:rsidRPr="008A753B" w14:paraId="2A4DDC6B" w14:textId="77777777" w:rsidTr="3A98BE57"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406ACC" w14:textId="175D140F" w:rsidR="0000042C" w:rsidRPr="008A753B" w:rsidRDefault="00A71EDF" w:rsidP="00AA5CC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CONFIRMED </w:t>
            </w:r>
            <w:r w:rsidR="005566E3" w:rsidRPr="008A753B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2608CF">
              <w:rPr>
                <w:b/>
                <w:bCs/>
                <w:sz w:val="24"/>
                <w:szCs w:val="24"/>
              </w:rPr>
              <w:t>16 NOVEMBER</w:t>
            </w:r>
            <w:r w:rsidR="007717EB">
              <w:rPr>
                <w:b/>
                <w:bCs/>
                <w:sz w:val="24"/>
                <w:szCs w:val="24"/>
              </w:rPr>
              <w:t xml:space="preserve"> </w:t>
            </w:r>
            <w:r w:rsidR="008D0F20">
              <w:rPr>
                <w:b/>
                <w:bCs/>
                <w:sz w:val="24"/>
                <w:szCs w:val="24"/>
              </w:rPr>
              <w:t>202</w:t>
            </w:r>
            <w:r w:rsidR="00A93902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A753B" w:rsidRPr="008A753B" w14:paraId="648655F8" w14:textId="77777777" w:rsidTr="3A98BE57"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65554D" w14:textId="2757B112" w:rsidR="0056628D" w:rsidRPr="008A753B" w:rsidRDefault="0056628D" w:rsidP="000C3EDD">
            <w:pPr>
              <w:pStyle w:val="Heading2"/>
              <w:rPr>
                <w:b w:val="0"/>
              </w:rPr>
            </w:pPr>
            <w:r w:rsidRPr="008A753B">
              <w:t>PRESENT:</w:t>
            </w:r>
          </w:p>
        </w:tc>
      </w:tr>
      <w:tr w:rsidR="00864B29" w:rsidRPr="008A753B" w14:paraId="55D3FC8D" w14:textId="77777777" w:rsidTr="3A98BE57">
        <w:tc>
          <w:tcPr>
            <w:tcW w:w="5245" w:type="dxa"/>
            <w:tcBorders>
              <w:top w:val="single" w:sz="4" w:space="0" w:color="auto"/>
            </w:tcBorders>
          </w:tcPr>
          <w:p w14:paraId="3D959F2F" w14:textId="54B912E0" w:rsidR="00864B29" w:rsidRPr="008A753B" w:rsidRDefault="00A93902" w:rsidP="00864B29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Cowling </w:t>
            </w:r>
            <w:r w:rsidR="00864B29">
              <w:rPr>
                <w:sz w:val="24"/>
                <w:szCs w:val="24"/>
              </w:rPr>
              <w:t>(Chair)</w:t>
            </w:r>
            <w:r w:rsidR="001037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30089F4C" w14:textId="613D53BC" w:rsidR="00864B29" w:rsidRPr="008A753B" w:rsidRDefault="000D02D5" w:rsidP="00864B29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Sir Chris Husbands</w:t>
            </w:r>
          </w:p>
        </w:tc>
      </w:tr>
      <w:tr w:rsidR="00103702" w:rsidRPr="008A753B" w14:paraId="390C3619" w14:textId="77777777" w:rsidTr="000D02D5">
        <w:trPr>
          <w:trHeight w:val="63"/>
        </w:trPr>
        <w:tc>
          <w:tcPr>
            <w:tcW w:w="5245" w:type="dxa"/>
          </w:tcPr>
          <w:p w14:paraId="2E0B4B40" w14:textId="14E728F4" w:rsidR="00103702" w:rsidRPr="000D02D5" w:rsidRDefault="000D02D5" w:rsidP="00864B29">
            <w:pPr>
              <w:spacing w:before="60"/>
              <w:rPr>
                <w:sz w:val="24"/>
                <w:szCs w:val="24"/>
              </w:rPr>
            </w:pPr>
            <w:r w:rsidRPr="000D02D5">
              <w:rPr>
                <w:bCs/>
                <w:sz w:val="24"/>
                <w:szCs w:val="24"/>
              </w:rPr>
              <w:t>Carol Bernard</w:t>
            </w:r>
          </w:p>
        </w:tc>
        <w:tc>
          <w:tcPr>
            <w:tcW w:w="4962" w:type="dxa"/>
            <w:gridSpan w:val="2"/>
          </w:tcPr>
          <w:p w14:paraId="0252AEE5" w14:textId="5378E5A2" w:rsidR="00103702" w:rsidRPr="000D02D5" w:rsidRDefault="00AA1E36" w:rsidP="00864B29">
            <w:pPr>
              <w:spacing w:before="60"/>
              <w:rPr>
                <w:sz w:val="24"/>
                <w:szCs w:val="24"/>
              </w:rPr>
            </w:pPr>
            <w:r w:rsidRPr="00F61787">
              <w:rPr>
                <w:bCs/>
                <w:szCs w:val="24"/>
              </w:rPr>
              <w:t>Janet Onyia</w:t>
            </w:r>
            <w:r w:rsidR="00E6401D">
              <w:rPr>
                <w:bCs/>
                <w:szCs w:val="24"/>
              </w:rPr>
              <w:t xml:space="preserve"> </w:t>
            </w:r>
          </w:p>
        </w:tc>
      </w:tr>
      <w:tr w:rsidR="00B90E01" w:rsidRPr="008A753B" w14:paraId="1B723133" w14:textId="77777777" w:rsidTr="3A98BE57">
        <w:tc>
          <w:tcPr>
            <w:tcW w:w="5245" w:type="dxa"/>
          </w:tcPr>
          <w:p w14:paraId="25434675" w14:textId="6D1BBCEE" w:rsidR="00B90E01" w:rsidRDefault="00B90E01" w:rsidP="00864B29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Berring</w:t>
            </w:r>
          </w:p>
        </w:tc>
        <w:tc>
          <w:tcPr>
            <w:tcW w:w="4962" w:type="dxa"/>
            <w:gridSpan w:val="2"/>
          </w:tcPr>
          <w:p w14:paraId="20F2BE10" w14:textId="33B819F8" w:rsidR="00B90E01" w:rsidRDefault="00AA1E36" w:rsidP="00864B29">
            <w:pPr>
              <w:spacing w:before="60"/>
              <w:rPr>
                <w:sz w:val="24"/>
                <w:szCs w:val="24"/>
              </w:rPr>
            </w:pPr>
            <w:r w:rsidRPr="000D02D5">
              <w:rPr>
                <w:bCs/>
                <w:sz w:val="24"/>
                <w:szCs w:val="24"/>
              </w:rPr>
              <w:t>Giles Searby</w:t>
            </w:r>
          </w:p>
        </w:tc>
      </w:tr>
      <w:tr w:rsidR="00864B29" w:rsidRPr="008A753B" w14:paraId="70E71BC7" w14:textId="77777777" w:rsidTr="00C95A18"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864B29" w:rsidRPr="008A753B" w:rsidRDefault="00864B29" w:rsidP="00864B29">
            <w:pPr>
              <w:pStyle w:val="Heading2"/>
            </w:pPr>
            <w:r w:rsidRPr="008A753B">
              <w:t>IN ATTE</w:t>
            </w:r>
            <w:r>
              <w:t>N</w:t>
            </w:r>
            <w:r w:rsidRPr="008A753B">
              <w:t>DANCE: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864B29" w:rsidRPr="008A753B" w:rsidRDefault="00864B29" w:rsidP="00864B29">
            <w:pPr>
              <w:pStyle w:val="Heading2"/>
            </w:pPr>
            <w:r w:rsidRPr="008A753B">
              <w:t>AGENDA ITEM</w:t>
            </w:r>
          </w:p>
        </w:tc>
      </w:tr>
      <w:tr w:rsidR="00864B29" w:rsidRPr="008A753B" w14:paraId="792E0B0F" w14:textId="77777777" w:rsidTr="3A98BE57">
        <w:trPr>
          <w:trHeight w:val="273"/>
        </w:trPr>
        <w:tc>
          <w:tcPr>
            <w:tcW w:w="8506" w:type="dxa"/>
            <w:gridSpan w:val="2"/>
            <w:tcBorders>
              <w:top w:val="single" w:sz="4" w:space="0" w:color="auto"/>
            </w:tcBorders>
          </w:tcPr>
          <w:p w14:paraId="1B475B60" w14:textId="49B67300" w:rsidR="00864B29" w:rsidRPr="008A753B" w:rsidRDefault="000D02D5" w:rsidP="00864B2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Michaela Boryslawskyj, University Secretary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B89311E" w14:textId="42ACA7F8" w:rsidR="00864B29" w:rsidRPr="008A753B" w:rsidRDefault="00A93902" w:rsidP="00864B2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C95A18" w:rsidRPr="008A753B" w14:paraId="7AEDBEB6" w14:textId="77777777" w:rsidTr="3A98BE57">
        <w:trPr>
          <w:trHeight w:val="148"/>
        </w:trPr>
        <w:tc>
          <w:tcPr>
            <w:tcW w:w="8506" w:type="dxa"/>
            <w:gridSpan w:val="2"/>
          </w:tcPr>
          <w:p w14:paraId="1D3F65F6" w14:textId="7DC4806E" w:rsidR="00C95A18" w:rsidRDefault="00C95A18" w:rsidP="00C95A1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Calvert, Deputy Vice-Chancellor, Strategy and Operations (DVCSO)</w:t>
            </w:r>
          </w:p>
        </w:tc>
        <w:tc>
          <w:tcPr>
            <w:tcW w:w="1701" w:type="dxa"/>
          </w:tcPr>
          <w:p w14:paraId="24375CBF" w14:textId="711F37A7" w:rsidR="00C95A18" w:rsidRDefault="00AA1E36" w:rsidP="00C95A1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</w:p>
        </w:tc>
      </w:tr>
      <w:tr w:rsidR="00AA1E36" w:rsidRPr="008A753B" w14:paraId="33B0B93C" w14:textId="77777777" w:rsidTr="3A98BE57">
        <w:tc>
          <w:tcPr>
            <w:tcW w:w="8506" w:type="dxa"/>
            <w:gridSpan w:val="2"/>
          </w:tcPr>
          <w:p w14:paraId="693EE68D" w14:textId="7D834424" w:rsidR="00AA1E36" w:rsidRPr="008A753B" w:rsidRDefault="00AA1E36" w:rsidP="00AA1E3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Sally Jackson, Chief People Officer/Pro Vice-Chancellor (Diversity &amp; Inclusion) (CPO/PVCDI)</w:t>
            </w:r>
          </w:p>
        </w:tc>
        <w:tc>
          <w:tcPr>
            <w:tcW w:w="1701" w:type="dxa"/>
          </w:tcPr>
          <w:p w14:paraId="2D1FB007" w14:textId="2FDA1755" w:rsidR="00AA1E36" w:rsidRPr="008A753B" w:rsidRDefault="00AA1E36" w:rsidP="00AA1E3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AA1E36" w:rsidRPr="008A753B" w14:paraId="2ABABB21" w14:textId="77777777" w:rsidTr="3A98BE57">
        <w:tc>
          <w:tcPr>
            <w:tcW w:w="8506" w:type="dxa"/>
            <w:gridSpan w:val="2"/>
          </w:tcPr>
          <w:p w14:paraId="47EE1CA3" w14:textId="205918A4" w:rsidR="00AA1E36" w:rsidRPr="008A753B" w:rsidRDefault="00AA1E36" w:rsidP="00AA1E3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Keyworth, Chief Finance Officer (CFO)</w:t>
            </w:r>
          </w:p>
        </w:tc>
        <w:tc>
          <w:tcPr>
            <w:tcW w:w="1701" w:type="dxa"/>
          </w:tcPr>
          <w:p w14:paraId="14CD802B" w14:textId="15131815" w:rsidR="00AA1E36" w:rsidRPr="008A753B" w:rsidRDefault="00AA1E36" w:rsidP="00AA1E3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</w:p>
        </w:tc>
      </w:tr>
      <w:tr w:rsidR="00AA1E36" w:rsidRPr="008A753B" w14:paraId="6EE17534" w14:textId="77777777" w:rsidTr="3A98BE57">
        <w:tc>
          <w:tcPr>
            <w:tcW w:w="8506" w:type="dxa"/>
            <w:gridSpan w:val="2"/>
          </w:tcPr>
          <w:p w14:paraId="3D5C4872" w14:textId="33491B53" w:rsidR="00AA1E36" w:rsidRPr="008A753B" w:rsidRDefault="00AA1E36" w:rsidP="00AA1E36">
            <w:pPr>
              <w:tabs>
                <w:tab w:val="left" w:pos="589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Tracey Taylor, Committee Secretary</w:t>
            </w:r>
          </w:p>
        </w:tc>
        <w:tc>
          <w:tcPr>
            <w:tcW w:w="1701" w:type="dxa"/>
          </w:tcPr>
          <w:p w14:paraId="18542378" w14:textId="16AA1566" w:rsidR="00AA1E36" w:rsidRPr="008A753B" w:rsidRDefault="00AA1E36" w:rsidP="00AA1E3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</w:p>
        </w:tc>
      </w:tr>
      <w:tr w:rsidR="00AA1E36" w:rsidRPr="008A753B" w14:paraId="798CA5BB" w14:textId="77777777" w:rsidTr="3A98BE57">
        <w:tc>
          <w:tcPr>
            <w:tcW w:w="8506" w:type="dxa"/>
            <w:gridSpan w:val="2"/>
          </w:tcPr>
          <w:p w14:paraId="4946071E" w14:textId="35D97F7A" w:rsidR="00AA1E36" w:rsidRPr="00F61787" w:rsidRDefault="00AA1E36" w:rsidP="00AA1E36">
            <w:pPr>
              <w:tabs>
                <w:tab w:val="left" w:pos="5890"/>
              </w:tabs>
              <w:spacing w:before="60" w:after="60"/>
              <w:rPr>
                <w:sz w:val="24"/>
                <w:szCs w:val="24"/>
              </w:rPr>
            </w:pPr>
            <w:r w:rsidRPr="00F61787">
              <w:rPr>
                <w:sz w:val="24"/>
                <w:szCs w:val="24"/>
              </w:rPr>
              <w:t xml:space="preserve">Gary Tideswell, Head of </w:t>
            </w:r>
            <w:proofErr w:type="gramStart"/>
            <w:r w:rsidRPr="00F61787">
              <w:rPr>
                <w:sz w:val="24"/>
                <w:szCs w:val="24"/>
              </w:rPr>
              <w:t>Health</w:t>
            </w:r>
            <w:proofErr w:type="gramEnd"/>
            <w:r w:rsidRPr="00F61787">
              <w:rPr>
                <w:sz w:val="24"/>
                <w:szCs w:val="24"/>
              </w:rPr>
              <w:t xml:space="preserve"> and Safety</w:t>
            </w:r>
          </w:p>
        </w:tc>
        <w:tc>
          <w:tcPr>
            <w:tcW w:w="1701" w:type="dxa"/>
          </w:tcPr>
          <w:p w14:paraId="1E8BF041" w14:textId="1EDCB66F" w:rsidR="00AA1E36" w:rsidRPr="00F61787" w:rsidRDefault="00AA1E36" w:rsidP="00AA1E36">
            <w:pPr>
              <w:spacing w:before="60" w:after="60"/>
              <w:rPr>
                <w:sz w:val="24"/>
                <w:szCs w:val="24"/>
              </w:rPr>
            </w:pPr>
            <w:r w:rsidRPr="00F61787">
              <w:rPr>
                <w:sz w:val="24"/>
                <w:szCs w:val="24"/>
              </w:rPr>
              <w:t>Item</w:t>
            </w:r>
            <w:r w:rsidR="00E6401D" w:rsidRPr="00F61787">
              <w:rPr>
                <w:sz w:val="24"/>
                <w:szCs w:val="24"/>
              </w:rPr>
              <w:t xml:space="preserve"> 6</w:t>
            </w:r>
          </w:p>
        </w:tc>
      </w:tr>
      <w:tr w:rsidR="00AA1E36" w:rsidRPr="008A753B" w14:paraId="1EE88C2D" w14:textId="77777777" w:rsidTr="3A98BE57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E936CF" w14:textId="144F869C" w:rsidR="00AA1E36" w:rsidRPr="008A753B" w:rsidRDefault="00AA1E36" w:rsidP="00AA1E36">
            <w:pPr>
              <w:pStyle w:val="Heading2"/>
            </w:pPr>
            <w:r w:rsidRPr="008A753B">
              <w:t xml:space="preserve">APOLOGIES: </w:t>
            </w:r>
            <w:r w:rsidRPr="00AA1E36">
              <w:rPr>
                <w:b w:val="0"/>
                <w:bCs/>
              </w:rPr>
              <w:t>There were no apologies</w:t>
            </w:r>
            <w:r w:rsidR="00E6401D">
              <w:rPr>
                <w:b w:val="0"/>
                <w:bCs/>
              </w:rPr>
              <w:t>.</w:t>
            </w:r>
          </w:p>
        </w:tc>
      </w:tr>
    </w:tbl>
    <w:p w14:paraId="2B637C90" w14:textId="207E3F35" w:rsidR="0000042C" w:rsidRPr="008A753B" w:rsidRDefault="0000042C" w:rsidP="00CF367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207" w:type="dxa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63"/>
        <w:gridCol w:w="1984"/>
      </w:tblGrid>
      <w:tr w:rsidR="008A753B" w:rsidRPr="008A753B" w14:paraId="126299E9" w14:textId="77777777" w:rsidTr="3A98BE5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26B979A0" w:rsidR="00392682" w:rsidRPr="002D430D" w:rsidRDefault="009C5532" w:rsidP="000C3EDD">
            <w:pPr>
              <w:pStyle w:val="Heading2"/>
            </w:pPr>
            <w:r w:rsidRPr="002D430D">
              <w:t>Minute Ref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4EB3E" w14:textId="113453DF" w:rsidR="00392682" w:rsidRPr="002D430D" w:rsidRDefault="00392682" w:rsidP="000C3EDD">
            <w:pPr>
              <w:pStyle w:val="Heading2"/>
            </w:pPr>
            <w:r w:rsidRPr="002D430D">
              <w:t>Item of Business</w:t>
            </w:r>
            <w:r w:rsidR="00714518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3A749D0B" w:rsidR="00392682" w:rsidRPr="002D430D" w:rsidRDefault="009C5532" w:rsidP="000C3EDD">
            <w:pPr>
              <w:pStyle w:val="Heading2"/>
              <w:jc w:val="right"/>
            </w:pPr>
            <w:r w:rsidRPr="002D430D">
              <w:t xml:space="preserve">Paper Ref </w:t>
            </w:r>
          </w:p>
        </w:tc>
      </w:tr>
      <w:tr w:rsidR="008A753B" w:rsidRPr="008A753B" w14:paraId="1F67B079" w14:textId="77777777" w:rsidTr="3A98BE57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CDC578" w14:textId="12A62BE1" w:rsidR="00022310" w:rsidRPr="00A85DEC" w:rsidRDefault="0037008C" w:rsidP="00172CB8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FEC</w:t>
            </w:r>
            <w:r w:rsidR="00951B80">
              <w:t>_</w:t>
            </w:r>
            <w:r w:rsidR="00AA1E36">
              <w:t>2023_11_16</w:t>
            </w:r>
            <w:r w:rsidR="00951B80">
              <w:t>_</w:t>
            </w:r>
            <w:r>
              <w:t>1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1D6C47" w14:textId="006F15FB" w:rsidR="00022310" w:rsidRPr="008A753B" w:rsidRDefault="00D40EE9" w:rsidP="00172CB8">
            <w:pPr>
              <w:pStyle w:val="Heading2"/>
            </w:pPr>
            <w:r w:rsidRPr="008A753B">
              <w:t>DECLARATIONS OF INTEREST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D3719" w14:textId="77A9009D" w:rsidR="00022310" w:rsidRPr="008A753B" w:rsidRDefault="00022310" w:rsidP="00172CB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8A753B" w:rsidRPr="008A753B" w14:paraId="42DADC77" w14:textId="77777777" w:rsidTr="3A98BE5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E9C522" w14:textId="6D97050D" w:rsidR="00A84615" w:rsidRPr="008A753B" w:rsidRDefault="00392682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>1</w:t>
            </w:r>
            <w:r w:rsidR="00A84615" w:rsidRPr="008A753B"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C8584" w14:textId="57DF12DB" w:rsidR="00C54F81" w:rsidRPr="008A753B" w:rsidRDefault="00984E0D" w:rsidP="00810722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There were no declarations of interest. </w:t>
            </w:r>
            <w:r w:rsidR="0067003F">
              <w:rPr>
                <w:rFonts w:cstheme="minorHAnsi"/>
                <w:sz w:val="24"/>
                <w:szCs w:val="24"/>
              </w:rPr>
              <w:t xml:space="preserve"> </w:t>
            </w:r>
            <w:r w:rsidR="00AA1E3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A56C1" w:rsidRPr="008A753B" w14:paraId="4118F7A3" w14:textId="77777777" w:rsidTr="3A98BE5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DD9977" w14:textId="499FA866" w:rsidR="003A56C1" w:rsidRPr="003A56C1" w:rsidRDefault="0037008C" w:rsidP="00172CB8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FEC</w:t>
            </w:r>
            <w:r w:rsidR="00951B80">
              <w:t>_</w:t>
            </w:r>
            <w:r w:rsidR="00AA1E36">
              <w:t>2023_11_16</w:t>
            </w:r>
            <w:r w:rsidR="00951B80">
              <w:t>_</w:t>
            </w:r>
            <w:r>
              <w:t>2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F4ED39" w14:textId="77510CF6" w:rsidR="004A27EA" w:rsidRPr="008A753B" w:rsidRDefault="00D40EE9" w:rsidP="00172CB8">
            <w:pPr>
              <w:pStyle w:val="Heading2"/>
            </w:pPr>
            <w:r w:rsidRPr="008A753B">
              <w:t xml:space="preserve">CHAIR’S BUSINESS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0361E" w14:textId="77777777" w:rsidR="003A56C1" w:rsidRPr="003A56C1" w:rsidRDefault="003A56C1" w:rsidP="00172CB8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A753B" w:rsidRPr="008A753B" w14:paraId="45E5AE98" w14:textId="77777777" w:rsidTr="3A98BE5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B3F545" w14:textId="04C71F39" w:rsidR="00392682" w:rsidRPr="008A753B" w:rsidRDefault="003A56C1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2682" w:rsidRPr="008A753B"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52B2A" w14:textId="6822B515" w:rsidR="003027CF" w:rsidRPr="0067003F" w:rsidRDefault="00C4592A" w:rsidP="00D9396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Chair has no specific items to raise. </w:t>
            </w:r>
          </w:p>
        </w:tc>
      </w:tr>
      <w:tr w:rsidR="00F61787" w:rsidRPr="008A753B" w14:paraId="37FD763C" w14:textId="77777777" w:rsidTr="004D1F08"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31DD23" w14:textId="784561A0" w:rsidR="00F61787" w:rsidRDefault="00F61787" w:rsidP="000D02D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following agenda items were taken out of order. </w:t>
            </w:r>
          </w:p>
        </w:tc>
      </w:tr>
      <w:tr w:rsidR="008104FF" w:rsidRPr="008A753B" w14:paraId="7DB8C8ED" w14:textId="77777777" w:rsidTr="00C650F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81FE1C" w14:textId="08F3AFBE" w:rsidR="008104FF" w:rsidRPr="008A753B" w:rsidRDefault="008104FF" w:rsidP="00C650F7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bookmarkStart w:id="0" w:name="_Hlk114509277"/>
            <w:bookmarkStart w:id="1" w:name="_Hlk150847896"/>
            <w:r>
              <w:t>FEC_2023_11_16_</w:t>
            </w:r>
            <w:r w:rsidR="00970881">
              <w:t>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FE2DE6" w14:textId="77777777" w:rsidR="008104FF" w:rsidRPr="008A753B" w:rsidRDefault="008104FF" w:rsidP="00C650F7">
            <w:pPr>
              <w:pStyle w:val="Heading2"/>
            </w:pPr>
            <w:r>
              <w:t>PAY GAP REPORT 2022/23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338D19" w14:textId="767F819A" w:rsidR="008104FF" w:rsidRPr="00627D42" w:rsidRDefault="00970881" w:rsidP="00C650F7">
            <w:pPr>
              <w:pStyle w:val="Heading3"/>
              <w:spacing w:before="60" w:after="60"/>
              <w:ind w:left="-113" w:right="-110"/>
              <w:jc w:val="right"/>
            </w:pPr>
            <w:r>
              <w:t>FEC_2023_11_16_P8</w:t>
            </w:r>
          </w:p>
        </w:tc>
      </w:tr>
      <w:tr w:rsidR="008104FF" w:rsidRPr="008A753B" w14:paraId="173C75B6" w14:textId="77777777" w:rsidTr="00C650F7">
        <w:tc>
          <w:tcPr>
            <w:tcW w:w="1560" w:type="dxa"/>
            <w:tcBorders>
              <w:top w:val="nil"/>
              <w:bottom w:val="nil"/>
            </w:tcBorders>
          </w:tcPr>
          <w:p w14:paraId="35012BED" w14:textId="14E55188" w:rsidR="008104FF" w:rsidRDefault="00970881" w:rsidP="00C650F7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04FF"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08FEF872" w14:textId="0F9A86E0" w:rsidR="008104FF" w:rsidRDefault="00970881" w:rsidP="006069C3">
            <w:pPr>
              <w:spacing w:before="60" w:after="6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CPO/PVCDI presented the University’s </w:t>
            </w:r>
            <w:r w:rsidR="00044A39" w:rsidRPr="3697E5C7">
              <w:rPr>
                <w:sz w:val="24"/>
                <w:szCs w:val="24"/>
              </w:rPr>
              <w:t xml:space="preserve">seventh </w:t>
            </w:r>
            <w:r>
              <w:rPr>
                <w:sz w:val="24"/>
                <w:szCs w:val="24"/>
              </w:rPr>
              <w:t xml:space="preserve">pay gap report which extended to </w:t>
            </w:r>
            <w:r w:rsidR="00044A39">
              <w:rPr>
                <w:sz w:val="24"/>
                <w:szCs w:val="24"/>
              </w:rPr>
              <w:t xml:space="preserve">other protected characteristics. </w:t>
            </w:r>
            <w:r>
              <w:rPr>
                <w:sz w:val="24"/>
                <w:szCs w:val="24"/>
              </w:rPr>
              <w:t xml:space="preserve">It was noted that, whilst </w:t>
            </w:r>
            <w:r w:rsidR="00044A39" w:rsidRPr="3697E5C7">
              <w:rPr>
                <w:sz w:val="24"/>
                <w:szCs w:val="24"/>
              </w:rPr>
              <w:t xml:space="preserve">overall pay gaps for gender, ethnicity, </w:t>
            </w:r>
            <w:proofErr w:type="gramStart"/>
            <w:r w:rsidR="00044A39" w:rsidRPr="3697E5C7">
              <w:rPr>
                <w:sz w:val="24"/>
                <w:szCs w:val="24"/>
              </w:rPr>
              <w:t>disability</w:t>
            </w:r>
            <w:proofErr w:type="gramEnd"/>
            <w:r w:rsidR="00044A39" w:rsidRPr="3697E5C7">
              <w:rPr>
                <w:sz w:val="24"/>
                <w:szCs w:val="24"/>
              </w:rPr>
              <w:t xml:space="preserve"> and sexual orientation</w:t>
            </w:r>
            <w:r>
              <w:rPr>
                <w:sz w:val="24"/>
                <w:szCs w:val="24"/>
              </w:rPr>
              <w:t xml:space="preserve"> </w:t>
            </w:r>
            <w:r w:rsidR="00856670">
              <w:rPr>
                <w:sz w:val="24"/>
                <w:szCs w:val="24"/>
              </w:rPr>
              <w:t>were reported</w:t>
            </w:r>
            <w:r>
              <w:rPr>
                <w:sz w:val="24"/>
                <w:szCs w:val="24"/>
              </w:rPr>
              <w:t>, the University did not have any</w:t>
            </w:r>
            <w:r w:rsidR="00044A39" w:rsidRPr="3697E5C7">
              <w:rPr>
                <w:sz w:val="24"/>
                <w:szCs w:val="24"/>
              </w:rPr>
              <w:t xml:space="preserve"> equal pay issues when </w:t>
            </w:r>
            <w:r>
              <w:rPr>
                <w:sz w:val="24"/>
                <w:szCs w:val="24"/>
              </w:rPr>
              <w:t>looking</w:t>
            </w:r>
            <w:r w:rsidR="00044A39" w:rsidRPr="3697E5C7">
              <w:rPr>
                <w:sz w:val="24"/>
                <w:szCs w:val="24"/>
              </w:rPr>
              <w:t xml:space="preserve"> at these groups within grades.</w:t>
            </w:r>
            <w:r>
              <w:rPr>
                <w:sz w:val="24"/>
                <w:szCs w:val="24"/>
              </w:rPr>
              <w:t xml:space="preserve"> FEC considered the following </w:t>
            </w:r>
            <w:r w:rsidR="00856670">
              <w:rPr>
                <w:sz w:val="24"/>
                <w:szCs w:val="24"/>
              </w:rPr>
              <w:t>highlights from the report</w:t>
            </w:r>
            <w:r>
              <w:rPr>
                <w:sz w:val="24"/>
                <w:szCs w:val="24"/>
              </w:rPr>
              <w:t>:</w:t>
            </w:r>
          </w:p>
          <w:p w14:paraId="355583DF" w14:textId="309E5FD5" w:rsidR="008104FF" w:rsidRPr="00970881" w:rsidRDefault="00970881" w:rsidP="006069C3">
            <w:pPr>
              <w:pStyle w:val="ListParagraph"/>
              <w:numPr>
                <w:ilvl w:val="0"/>
                <w:numId w:val="38"/>
              </w:numPr>
              <w:tabs>
                <w:tab w:val="center" w:pos="4513"/>
                <w:tab w:val="right" w:pos="9026"/>
              </w:tabs>
              <w:spacing w:before="60" w:after="6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lowest gender pay gap since reporting had begun</w:t>
            </w:r>
            <w:r w:rsidR="00856670">
              <w:rPr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color w:val="000000" w:themeColor="text1"/>
                <w:sz w:val="24"/>
                <w:szCs w:val="24"/>
              </w:rPr>
              <w:t>over</w:t>
            </w:r>
            <w:r w:rsidR="00044A39" w:rsidRPr="00970881">
              <w:rPr>
                <w:sz w:val="24"/>
                <w:szCs w:val="24"/>
              </w:rPr>
              <w:t xml:space="preserve"> the past year, the proportion of males in the lower quartile</w:t>
            </w:r>
            <w:r>
              <w:rPr>
                <w:sz w:val="24"/>
                <w:szCs w:val="24"/>
              </w:rPr>
              <w:t xml:space="preserve"> had increased </w:t>
            </w:r>
            <w:r w:rsidR="00EE475C">
              <w:rPr>
                <w:sz w:val="24"/>
                <w:szCs w:val="24"/>
              </w:rPr>
              <w:t xml:space="preserve">which </w:t>
            </w:r>
            <w:r>
              <w:rPr>
                <w:sz w:val="24"/>
                <w:szCs w:val="24"/>
              </w:rPr>
              <w:t>had positive</w:t>
            </w:r>
            <w:r w:rsidR="00EE475C">
              <w:rPr>
                <w:sz w:val="24"/>
                <w:szCs w:val="24"/>
              </w:rPr>
              <w:t>ly</w:t>
            </w:r>
            <w:r>
              <w:rPr>
                <w:sz w:val="24"/>
                <w:szCs w:val="24"/>
              </w:rPr>
              <w:t xml:space="preserve"> impact</w:t>
            </w:r>
            <w:r w:rsidR="00EE475C">
              <w:rPr>
                <w:sz w:val="24"/>
                <w:szCs w:val="24"/>
              </w:rPr>
              <w:t xml:space="preserve">ed </w:t>
            </w:r>
            <w:r>
              <w:rPr>
                <w:sz w:val="24"/>
                <w:szCs w:val="24"/>
              </w:rPr>
              <w:t xml:space="preserve">the pay </w:t>
            </w:r>
            <w:proofErr w:type="gramStart"/>
            <w:r>
              <w:rPr>
                <w:sz w:val="24"/>
                <w:szCs w:val="24"/>
              </w:rPr>
              <w:t>gap</w:t>
            </w:r>
            <w:r w:rsidR="00EE475C">
              <w:rPr>
                <w:sz w:val="24"/>
                <w:szCs w:val="24"/>
              </w:rPr>
              <w:t>;</w:t>
            </w:r>
            <w:proofErr w:type="gramEnd"/>
            <w:r w:rsidR="00044A39" w:rsidRPr="00970881">
              <w:rPr>
                <w:sz w:val="24"/>
                <w:szCs w:val="24"/>
              </w:rPr>
              <w:t xml:space="preserve"> </w:t>
            </w:r>
          </w:p>
          <w:p w14:paraId="2956F47C" w14:textId="501CF456" w:rsidR="006069C3" w:rsidRPr="006069C3" w:rsidRDefault="00EE475C" w:rsidP="006069C3">
            <w:pPr>
              <w:pStyle w:val="ListParagraph"/>
              <w:numPr>
                <w:ilvl w:val="0"/>
                <w:numId w:val="38"/>
              </w:numPr>
              <w:tabs>
                <w:tab w:val="center" w:pos="4513"/>
                <w:tab w:val="right" w:pos="9026"/>
              </w:tabs>
              <w:spacing w:before="60" w:after="60"/>
              <w:rPr>
                <w:sz w:val="24"/>
                <w:szCs w:val="24"/>
              </w:rPr>
            </w:pPr>
            <w:r w:rsidRPr="006069C3">
              <w:rPr>
                <w:color w:val="000000" w:themeColor="text1"/>
                <w:sz w:val="24"/>
                <w:szCs w:val="24"/>
              </w:rPr>
              <w:t>the b</w:t>
            </w:r>
            <w:r w:rsidR="008104FF" w:rsidRPr="006069C3">
              <w:rPr>
                <w:color w:val="000000" w:themeColor="text1"/>
                <w:sz w:val="24"/>
                <w:szCs w:val="24"/>
              </w:rPr>
              <w:t xml:space="preserve">onus </w:t>
            </w:r>
            <w:proofErr w:type="gramStart"/>
            <w:r w:rsidR="008104FF" w:rsidRPr="006069C3">
              <w:rPr>
                <w:color w:val="000000" w:themeColor="text1"/>
                <w:sz w:val="24"/>
                <w:szCs w:val="24"/>
              </w:rPr>
              <w:t>pay</w:t>
            </w:r>
            <w:proofErr w:type="gramEnd"/>
            <w:r w:rsidR="008104FF" w:rsidRPr="006069C3">
              <w:rPr>
                <w:color w:val="000000" w:themeColor="text1"/>
                <w:sz w:val="24"/>
                <w:szCs w:val="24"/>
              </w:rPr>
              <w:t xml:space="preserve"> gap</w:t>
            </w:r>
            <w:r w:rsidRPr="006069C3">
              <w:rPr>
                <w:color w:val="000000" w:themeColor="text1"/>
                <w:sz w:val="24"/>
                <w:szCs w:val="24"/>
              </w:rPr>
              <w:t xml:space="preserve"> and ethnicity pay gaps </w:t>
            </w:r>
            <w:r w:rsidR="00856670">
              <w:rPr>
                <w:color w:val="000000" w:themeColor="text1"/>
                <w:sz w:val="24"/>
                <w:szCs w:val="24"/>
              </w:rPr>
              <w:t xml:space="preserve">which </w:t>
            </w:r>
            <w:r w:rsidRPr="006069C3">
              <w:rPr>
                <w:color w:val="000000" w:themeColor="text1"/>
                <w:sz w:val="24"/>
                <w:szCs w:val="24"/>
              </w:rPr>
              <w:t>were relatively static on last year</w:t>
            </w:r>
            <w:r w:rsidR="006069C3" w:rsidRPr="006069C3">
              <w:rPr>
                <w:color w:val="000000" w:themeColor="text1"/>
                <w:sz w:val="24"/>
                <w:szCs w:val="24"/>
              </w:rPr>
              <w:t xml:space="preserve">; </w:t>
            </w:r>
            <w:r w:rsidRPr="006069C3">
              <w:rPr>
                <w:color w:val="000000" w:themeColor="text1"/>
                <w:sz w:val="24"/>
                <w:szCs w:val="24"/>
              </w:rPr>
              <w:t>there had been an</w:t>
            </w:r>
            <w:r w:rsidR="00044A39" w:rsidRPr="006069C3">
              <w:rPr>
                <w:sz w:val="24"/>
                <w:szCs w:val="24"/>
              </w:rPr>
              <w:t xml:space="preserve"> increase in the overall numbers of staff from minority backgrounds across </w:t>
            </w:r>
            <w:r w:rsidRPr="006069C3">
              <w:rPr>
                <w:sz w:val="24"/>
                <w:szCs w:val="24"/>
              </w:rPr>
              <w:t>all</w:t>
            </w:r>
            <w:r w:rsidR="00044A39" w:rsidRPr="006069C3">
              <w:rPr>
                <w:sz w:val="24"/>
                <w:szCs w:val="24"/>
              </w:rPr>
              <w:t xml:space="preserve"> quartiles</w:t>
            </w:r>
            <w:r w:rsidR="006069C3" w:rsidRPr="006069C3">
              <w:rPr>
                <w:sz w:val="24"/>
                <w:szCs w:val="24"/>
              </w:rPr>
              <w:t xml:space="preserve"> though the biggest increases </w:t>
            </w:r>
            <w:r w:rsidR="00856670">
              <w:rPr>
                <w:sz w:val="24"/>
                <w:szCs w:val="24"/>
              </w:rPr>
              <w:t>were</w:t>
            </w:r>
            <w:r w:rsidR="006069C3" w:rsidRPr="006069C3">
              <w:rPr>
                <w:sz w:val="24"/>
                <w:szCs w:val="24"/>
              </w:rPr>
              <w:t xml:space="preserve"> in the lower quartiles</w:t>
            </w:r>
            <w:r w:rsidR="006069C3">
              <w:rPr>
                <w:sz w:val="24"/>
                <w:szCs w:val="24"/>
              </w:rPr>
              <w:t>;</w:t>
            </w:r>
          </w:p>
          <w:p w14:paraId="2CA25E16" w14:textId="0691738E" w:rsidR="00970881" w:rsidRPr="00970881" w:rsidRDefault="006069C3" w:rsidP="006069C3">
            <w:pPr>
              <w:pStyle w:val="ListParagraph"/>
              <w:numPr>
                <w:ilvl w:val="0"/>
                <w:numId w:val="38"/>
              </w:numPr>
              <w:spacing w:before="60" w:after="60"/>
            </w:pPr>
            <w:r>
              <w:rPr>
                <w:color w:val="000000" w:themeColor="text1"/>
                <w:sz w:val="24"/>
                <w:szCs w:val="24"/>
              </w:rPr>
              <w:t>a reduction in the</w:t>
            </w:r>
            <w:r w:rsidR="00EE475C">
              <w:rPr>
                <w:color w:val="000000" w:themeColor="text1"/>
                <w:sz w:val="24"/>
                <w:szCs w:val="24"/>
              </w:rPr>
              <w:t xml:space="preserve"> d</w:t>
            </w:r>
            <w:r w:rsidR="008104FF" w:rsidRPr="00970881">
              <w:rPr>
                <w:color w:val="000000" w:themeColor="text1"/>
                <w:sz w:val="24"/>
                <w:szCs w:val="24"/>
              </w:rPr>
              <w:t xml:space="preserve">isability </w:t>
            </w:r>
            <w:r w:rsidR="00EE475C">
              <w:rPr>
                <w:color w:val="000000" w:themeColor="text1"/>
                <w:sz w:val="24"/>
                <w:szCs w:val="24"/>
              </w:rPr>
              <w:t>pay gap</w:t>
            </w:r>
            <w:r w:rsidR="00EE475C">
              <w:rPr>
                <w:sz w:val="24"/>
                <w:szCs w:val="24"/>
              </w:rPr>
              <w:t>, largely due to an increase in disability reporting a</w:t>
            </w:r>
            <w:r w:rsidR="00044A39" w:rsidRPr="00970881">
              <w:rPr>
                <w:sz w:val="24"/>
                <w:szCs w:val="24"/>
              </w:rPr>
              <w:t xml:space="preserve">cross the three lower </w:t>
            </w:r>
            <w:proofErr w:type="gramStart"/>
            <w:r w:rsidR="00044A39" w:rsidRPr="00970881">
              <w:rPr>
                <w:sz w:val="24"/>
                <w:szCs w:val="24"/>
              </w:rPr>
              <w:t>quartiles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14:paraId="486D0CD0" w14:textId="7D6ECB04" w:rsidR="008104FF" w:rsidRPr="00D400BA" w:rsidRDefault="006069C3" w:rsidP="006069C3">
            <w:pPr>
              <w:pStyle w:val="ListParagraph"/>
              <w:numPr>
                <w:ilvl w:val="0"/>
                <w:numId w:val="38"/>
              </w:numPr>
              <w:spacing w:before="60" w:after="60"/>
            </w:pPr>
            <w:r>
              <w:rPr>
                <w:color w:val="000000" w:themeColor="text1"/>
                <w:sz w:val="24"/>
                <w:szCs w:val="24"/>
              </w:rPr>
              <w:t>an increase in the s</w:t>
            </w:r>
            <w:r w:rsidR="008104FF">
              <w:rPr>
                <w:color w:val="000000" w:themeColor="text1"/>
                <w:sz w:val="24"/>
                <w:szCs w:val="24"/>
              </w:rPr>
              <w:t xml:space="preserve">exual orientation </w:t>
            </w:r>
            <w:r>
              <w:rPr>
                <w:color w:val="000000" w:themeColor="text1"/>
                <w:sz w:val="24"/>
                <w:szCs w:val="24"/>
              </w:rPr>
              <w:t>pay ga</w:t>
            </w:r>
            <w:r w:rsidR="00856670">
              <w:rPr>
                <w:color w:val="000000" w:themeColor="text1"/>
                <w:sz w:val="24"/>
                <w:szCs w:val="24"/>
              </w:rPr>
              <w:t>p</w:t>
            </w:r>
            <w:r>
              <w:rPr>
                <w:color w:val="000000" w:themeColor="text1"/>
                <w:sz w:val="24"/>
                <w:szCs w:val="24"/>
              </w:rPr>
              <w:t>, noting that this continued t</w:t>
            </w:r>
            <w:r w:rsidR="00044A39" w:rsidRPr="004C2406">
              <w:rPr>
                <w:sz w:val="24"/>
                <w:szCs w:val="24"/>
              </w:rPr>
              <w:t>o be the least r</w:t>
            </w:r>
            <w:r w:rsidR="00475E05">
              <w:rPr>
                <w:sz w:val="24"/>
                <w:szCs w:val="24"/>
              </w:rPr>
              <w:t>obust reporting</w:t>
            </w:r>
            <w:r w:rsidR="00044A39" w:rsidRPr="004C2406"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t>the</w:t>
            </w:r>
            <w:r w:rsidR="00044A39" w:rsidRPr="004C2406">
              <w:rPr>
                <w:sz w:val="24"/>
                <w:szCs w:val="24"/>
              </w:rPr>
              <w:t xml:space="preserve"> pay gaps due to a significant </w:t>
            </w:r>
            <w:r>
              <w:rPr>
                <w:sz w:val="24"/>
                <w:szCs w:val="24"/>
              </w:rPr>
              <w:t>minority</w:t>
            </w:r>
            <w:r w:rsidR="00044A39" w:rsidRPr="004C2406">
              <w:rPr>
                <w:sz w:val="24"/>
                <w:szCs w:val="24"/>
              </w:rPr>
              <w:t xml:space="preserve"> of staff who </w:t>
            </w:r>
            <w:r>
              <w:rPr>
                <w:sz w:val="24"/>
                <w:szCs w:val="24"/>
              </w:rPr>
              <w:t>had</w:t>
            </w:r>
            <w:r w:rsidR="00044A39" w:rsidRPr="004C2406">
              <w:rPr>
                <w:sz w:val="24"/>
                <w:szCs w:val="24"/>
              </w:rPr>
              <w:t xml:space="preserve"> not declared their sexual orientation.</w:t>
            </w:r>
            <w:r w:rsidR="00044A39">
              <w:rPr>
                <w:sz w:val="24"/>
                <w:szCs w:val="24"/>
              </w:rPr>
              <w:t xml:space="preserve"> </w:t>
            </w:r>
          </w:p>
          <w:p w14:paraId="53DCFA69" w14:textId="77777777" w:rsidR="00D400BA" w:rsidRDefault="00D400BA" w:rsidP="00D400BA">
            <w:pPr>
              <w:pStyle w:val="ListParagraph"/>
              <w:spacing w:before="60" w:after="60"/>
              <w:ind w:left="360"/>
              <w:rPr>
                <w:color w:val="000000" w:themeColor="text1"/>
                <w:sz w:val="24"/>
                <w:szCs w:val="24"/>
              </w:rPr>
            </w:pPr>
          </w:p>
          <w:p w14:paraId="0A0FB26B" w14:textId="23172FAF" w:rsidR="00D400BA" w:rsidRPr="00044A39" w:rsidRDefault="00D400BA" w:rsidP="00D400BA">
            <w:pPr>
              <w:spacing w:before="60" w:after="60"/>
            </w:pPr>
            <w:r>
              <w:rPr>
                <w:sz w:val="24"/>
                <w:szCs w:val="24"/>
              </w:rPr>
              <w:lastRenderedPageBreak/>
              <w:t xml:space="preserve">In response to a query on whether </w:t>
            </w:r>
            <w:r w:rsidRPr="00D400BA">
              <w:rPr>
                <w:sz w:val="24"/>
                <w:szCs w:val="24"/>
              </w:rPr>
              <w:t>equality</w:t>
            </w:r>
            <w:r>
              <w:rPr>
                <w:sz w:val="24"/>
                <w:szCs w:val="24"/>
              </w:rPr>
              <w:t xml:space="preserve"> and diversity</w:t>
            </w:r>
            <w:r w:rsidRPr="00D400BA">
              <w:rPr>
                <w:sz w:val="24"/>
                <w:szCs w:val="24"/>
              </w:rPr>
              <w:t xml:space="preserve"> info</w:t>
            </w:r>
            <w:r>
              <w:rPr>
                <w:sz w:val="24"/>
                <w:szCs w:val="24"/>
              </w:rPr>
              <w:t>rmation was only collected</w:t>
            </w:r>
            <w:r w:rsidRPr="00D400BA">
              <w:rPr>
                <w:sz w:val="24"/>
                <w:szCs w:val="24"/>
              </w:rPr>
              <w:t xml:space="preserve"> on </w:t>
            </w:r>
            <w:r w:rsidR="00856670">
              <w:rPr>
                <w:sz w:val="24"/>
                <w:szCs w:val="24"/>
              </w:rPr>
              <w:t>appointment</w:t>
            </w:r>
            <w:r>
              <w:rPr>
                <w:sz w:val="24"/>
                <w:szCs w:val="24"/>
              </w:rPr>
              <w:t>, it was reported that</w:t>
            </w:r>
            <w:r w:rsidR="00856670">
              <w:rPr>
                <w:sz w:val="24"/>
                <w:szCs w:val="24"/>
              </w:rPr>
              <w:t xml:space="preserve"> this</w:t>
            </w:r>
            <w:r>
              <w:rPr>
                <w:sz w:val="24"/>
                <w:szCs w:val="24"/>
              </w:rPr>
              <w:t xml:space="preserve"> </w:t>
            </w:r>
            <w:r w:rsidR="00856670">
              <w:rPr>
                <w:sz w:val="24"/>
                <w:szCs w:val="24"/>
              </w:rPr>
              <w:t>data was collected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annually</w:t>
            </w:r>
            <w:proofErr w:type="gramEnd"/>
            <w:r w:rsidR="00856670">
              <w:rPr>
                <w:sz w:val="24"/>
                <w:szCs w:val="24"/>
              </w:rPr>
              <w:t xml:space="preserve"> and </w:t>
            </w:r>
            <w:r w:rsidRPr="00D400BA">
              <w:rPr>
                <w:sz w:val="24"/>
                <w:szCs w:val="24"/>
              </w:rPr>
              <w:t xml:space="preserve">small bespoke campaigns </w:t>
            </w:r>
            <w:r w:rsidR="00856670">
              <w:rPr>
                <w:sz w:val="24"/>
                <w:szCs w:val="24"/>
              </w:rPr>
              <w:t xml:space="preserve">were also used </w:t>
            </w:r>
            <w:r w:rsidRPr="00D400BA">
              <w:rPr>
                <w:sz w:val="24"/>
                <w:szCs w:val="24"/>
              </w:rPr>
              <w:t>to encourage disclosure.</w:t>
            </w:r>
          </w:p>
        </w:tc>
      </w:tr>
      <w:bookmarkEnd w:id="0"/>
      <w:tr w:rsidR="008104FF" w:rsidRPr="008A753B" w14:paraId="5ED1A538" w14:textId="77777777" w:rsidTr="00C650F7">
        <w:tc>
          <w:tcPr>
            <w:tcW w:w="1560" w:type="dxa"/>
            <w:tcBorders>
              <w:top w:val="nil"/>
              <w:bottom w:val="nil"/>
            </w:tcBorders>
          </w:tcPr>
          <w:p w14:paraId="057C7B7F" w14:textId="37B6A56B" w:rsidR="008104FF" w:rsidRDefault="00D400BA" w:rsidP="00C650F7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8104FF">
              <w:rPr>
                <w:sz w:val="24"/>
                <w:szCs w:val="24"/>
              </w:rPr>
              <w:t>.2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25F4B079" w14:textId="0DEC1DB2" w:rsidR="00044A39" w:rsidRDefault="006069C3" w:rsidP="006069C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noted the introduction of a new Equity, Equality, </w:t>
            </w:r>
            <w:proofErr w:type="gramStart"/>
            <w:r>
              <w:rPr>
                <w:sz w:val="24"/>
                <w:szCs w:val="24"/>
              </w:rPr>
              <w:t>Diversity</w:t>
            </w:r>
            <w:proofErr w:type="gramEnd"/>
            <w:r>
              <w:rPr>
                <w:sz w:val="24"/>
                <w:szCs w:val="24"/>
              </w:rPr>
              <w:t xml:space="preserve"> and Inclusion (EEDI) team </w:t>
            </w:r>
            <w:r w:rsidR="00856670">
              <w:rPr>
                <w:sz w:val="24"/>
                <w:szCs w:val="24"/>
              </w:rPr>
              <w:t>which</w:t>
            </w:r>
            <w:r>
              <w:rPr>
                <w:sz w:val="24"/>
                <w:szCs w:val="24"/>
              </w:rPr>
              <w:t xml:space="preserve"> would undertake increased monitoring and evaluation of the action plan aimed at </w:t>
            </w:r>
            <w:r w:rsidR="00044A39">
              <w:rPr>
                <w:sz w:val="24"/>
                <w:szCs w:val="24"/>
              </w:rPr>
              <w:t>reducing pay gaps</w:t>
            </w:r>
            <w:r>
              <w:rPr>
                <w:sz w:val="24"/>
                <w:szCs w:val="24"/>
              </w:rPr>
              <w:t>.</w:t>
            </w:r>
          </w:p>
          <w:p w14:paraId="043E2302" w14:textId="13CDA22F" w:rsidR="00E34BC9" w:rsidRPr="00406A92" w:rsidRDefault="006069C3" w:rsidP="00E34BC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CPO/PVCDI updated FEC </w:t>
            </w:r>
            <w:r w:rsidR="008104FF" w:rsidRPr="00406A92">
              <w:rPr>
                <w:sz w:val="24"/>
                <w:szCs w:val="24"/>
              </w:rPr>
              <w:t xml:space="preserve">on </w:t>
            </w:r>
            <w:r w:rsidR="00D400BA">
              <w:rPr>
                <w:sz w:val="24"/>
                <w:szCs w:val="24"/>
              </w:rPr>
              <w:t xml:space="preserve">a query raised earlier in the year on how the University ensured </w:t>
            </w:r>
            <w:r w:rsidR="008104FF" w:rsidRPr="00406A92">
              <w:rPr>
                <w:sz w:val="24"/>
                <w:szCs w:val="24"/>
              </w:rPr>
              <w:t xml:space="preserve">women </w:t>
            </w:r>
            <w:r w:rsidR="00D400BA">
              <w:rPr>
                <w:sz w:val="24"/>
                <w:szCs w:val="24"/>
              </w:rPr>
              <w:t>returning</w:t>
            </w:r>
            <w:r w:rsidR="008104FF" w:rsidRPr="00406A92">
              <w:rPr>
                <w:sz w:val="24"/>
                <w:szCs w:val="24"/>
              </w:rPr>
              <w:t xml:space="preserve"> to work from maternity leave </w:t>
            </w:r>
            <w:r w:rsidR="00D400BA">
              <w:rPr>
                <w:sz w:val="24"/>
                <w:szCs w:val="24"/>
              </w:rPr>
              <w:t>were not disadvantaged</w:t>
            </w:r>
            <w:r w:rsidR="00856670">
              <w:rPr>
                <w:sz w:val="24"/>
                <w:szCs w:val="24"/>
              </w:rPr>
              <w:t xml:space="preserve"> in this area.</w:t>
            </w:r>
            <w:r w:rsidR="00D400BA">
              <w:rPr>
                <w:sz w:val="24"/>
                <w:szCs w:val="24"/>
              </w:rPr>
              <w:t xml:space="preserve"> </w:t>
            </w:r>
            <w:r w:rsidR="00D400BA" w:rsidRPr="00E34BC9">
              <w:rPr>
                <w:sz w:val="24"/>
                <w:szCs w:val="24"/>
              </w:rPr>
              <w:t>It was reported that</w:t>
            </w:r>
            <w:r w:rsidR="00E34BC9" w:rsidRPr="00E34BC9">
              <w:rPr>
                <w:sz w:val="24"/>
                <w:szCs w:val="24"/>
              </w:rPr>
              <w:t xml:space="preserve"> the University’s approach </w:t>
            </w:r>
            <w:r w:rsidR="00E34BC9">
              <w:rPr>
                <w:sz w:val="24"/>
                <w:szCs w:val="24"/>
              </w:rPr>
              <w:t xml:space="preserve">to </w:t>
            </w:r>
            <w:r w:rsidR="00E34BC9" w:rsidRPr="00E34BC9">
              <w:rPr>
                <w:sz w:val="24"/>
                <w:szCs w:val="24"/>
              </w:rPr>
              <w:t xml:space="preserve">flexible, and particularly part-time, working facilitated maternity </w:t>
            </w:r>
            <w:proofErr w:type="spellStart"/>
            <w:r w:rsidR="00856670">
              <w:rPr>
                <w:sz w:val="24"/>
                <w:szCs w:val="24"/>
              </w:rPr>
              <w:t>leavers</w:t>
            </w:r>
            <w:proofErr w:type="spellEnd"/>
            <w:r w:rsidR="00856670">
              <w:rPr>
                <w:sz w:val="24"/>
                <w:szCs w:val="24"/>
              </w:rPr>
              <w:t xml:space="preserve"> returning</w:t>
            </w:r>
            <w:r w:rsidR="00E34BC9" w:rsidRPr="00E34BC9">
              <w:rPr>
                <w:sz w:val="24"/>
                <w:szCs w:val="24"/>
              </w:rPr>
              <w:t xml:space="preserve"> to work </w:t>
            </w:r>
            <w:r w:rsidR="00856670">
              <w:rPr>
                <w:sz w:val="24"/>
                <w:szCs w:val="24"/>
              </w:rPr>
              <w:t>on</w:t>
            </w:r>
            <w:r w:rsidR="00E34BC9" w:rsidRPr="00E34BC9">
              <w:rPr>
                <w:sz w:val="24"/>
                <w:szCs w:val="24"/>
              </w:rPr>
              <w:t xml:space="preserve"> the same grade. </w:t>
            </w:r>
            <w:r w:rsidR="00856670">
              <w:rPr>
                <w:sz w:val="24"/>
                <w:szCs w:val="24"/>
              </w:rPr>
              <w:t>It was noted that t</w:t>
            </w:r>
            <w:r w:rsidR="00E34BC9" w:rsidRPr="00E34BC9">
              <w:rPr>
                <w:sz w:val="24"/>
                <w:szCs w:val="24"/>
              </w:rPr>
              <w:t>he University had recently launched a Parental Returners hub on the intranet following feedback from the Parents and Carers network</w:t>
            </w:r>
            <w:r w:rsidR="00856670">
              <w:rPr>
                <w:sz w:val="24"/>
                <w:szCs w:val="24"/>
              </w:rPr>
              <w:t xml:space="preserve"> and</w:t>
            </w:r>
            <w:r w:rsidR="00E34BC9" w:rsidRPr="00E34BC9">
              <w:rPr>
                <w:sz w:val="24"/>
                <w:szCs w:val="24"/>
              </w:rPr>
              <w:t xml:space="preserve"> </w:t>
            </w:r>
            <w:r w:rsidR="00856670">
              <w:rPr>
                <w:sz w:val="24"/>
                <w:szCs w:val="24"/>
              </w:rPr>
              <w:t xml:space="preserve">that </w:t>
            </w:r>
            <w:proofErr w:type="gramStart"/>
            <w:r w:rsidR="00E34BC9" w:rsidRPr="00E34BC9">
              <w:rPr>
                <w:sz w:val="24"/>
                <w:szCs w:val="24"/>
              </w:rPr>
              <w:t>a</w:t>
            </w:r>
            <w:r w:rsidR="00D400BA" w:rsidRPr="00E34BC9">
              <w:rPr>
                <w:sz w:val="24"/>
                <w:szCs w:val="24"/>
              </w:rPr>
              <w:t xml:space="preserve"> number </w:t>
            </w:r>
            <w:r w:rsidR="00856670">
              <w:rPr>
                <w:sz w:val="24"/>
                <w:szCs w:val="24"/>
              </w:rPr>
              <w:t>of</w:t>
            </w:r>
            <w:proofErr w:type="gramEnd"/>
            <w:r w:rsidR="00856670">
              <w:rPr>
                <w:sz w:val="24"/>
                <w:szCs w:val="24"/>
              </w:rPr>
              <w:t xml:space="preserve"> </w:t>
            </w:r>
            <w:r w:rsidR="008104FF" w:rsidRPr="00E34BC9">
              <w:rPr>
                <w:sz w:val="24"/>
                <w:szCs w:val="24"/>
              </w:rPr>
              <w:t>development programmes</w:t>
            </w:r>
            <w:r w:rsidR="00856670">
              <w:rPr>
                <w:sz w:val="24"/>
                <w:szCs w:val="24"/>
              </w:rPr>
              <w:t xml:space="preserve"> aimed specifically at</w:t>
            </w:r>
            <w:r w:rsidR="00D400BA" w:rsidRPr="00E34BC9">
              <w:rPr>
                <w:sz w:val="24"/>
                <w:szCs w:val="24"/>
              </w:rPr>
              <w:t xml:space="preserve"> women, such as the </w:t>
            </w:r>
            <w:proofErr w:type="spellStart"/>
            <w:r w:rsidR="00D400BA" w:rsidRPr="00E34BC9">
              <w:rPr>
                <w:sz w:val="24"/>
                <w:szCs w:val="24"/>
              </w:rPr>
              <w:t>AdvanceHE</w:t>
            </w:r>
            <w:proofErr w:type="spellEnd"/>
            <w:r w:rsidR="00D400BA" w:rsidRPr="00E34BC9">
              <w:rPr>
                <w:sz w:val="24"/>
                <w:szCs w:val="24"/>
              </w:rPr>
              <w:t xml:space="preserve"> </w:t>
            </w:r>
            <w:r w:rsidR="008104FF" w:rsidRPr="00E34BC9">
              <w:rPr>
                <w:sz w:val="24"/>
                <w:szCs w:val="24"/>
              </w:rPr>
              <w:t xml:space="preserve">Aurora </w:t>
            </w:r>
            <w:r w:rsidR="00D400BA" w:rsidRPr="00E34BC9">
              <w:rPr>
                <w:sz w:val="24"/>
                <w:szCs w:val="24"/>
              </w:rPr>
              <w:t>programme</w:t>
            </w:r>
            <w:r w:rsidR="00856670">
              <w:rPr>
                <w:sz w:val="24"/>
                <w:szCs w:val="24"/>
              </w:rPr>
              <w:t xml:space="preserve">, were available. </w:t>
            </w:r>
          </w:p>
        </w:tc>
      </w:tr>
      <w:tr w:rsidR="008104FF" w:rsidRPr="008A753B" w14:paraId="5FB73EF3" w14:textId="77777777" w:rsidTr="00C650F7">
        <w:tc>
          <w:tcPr>
            <w:tcW w:w="1560" w:type="dxa"/>
            <w:tcBorders>
              <w:top w:val="nil"/>
              <w:bottom w:val="nil"/>
            </w:tcBorders>
          </w:tcPr>
          <w:p w14:paraId="2BBC369A" w14:textId="701A16E6" w:rsidR="008104FF" w:rsidRDefault="00D400BA" w:rsidP="00C650F7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04FF">
              <w:rPr>
                <w:sz w:val="24"/>
                <w:szCs w:val="24"/>
              </w:rPr>
              <w:t>.3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6E8782F1" w14:textId="52D3AD9B" w:rsidR="008104FF" w:rsidRPr="000D02D5" w:rsidRDefault="008104FF" w:rsidP="00C650F7">
            <w:pPr>
              <w:spacing w:before="60" w:after="60"/>
              <w:rPr>
                <w:sz w:val="24"/>
                <w:szCs w:val="24"/>
              </w:rPr>
            </w:pPr>
            <w:r w:rsidRPr="00406A92">
              <w:rPr>
                <w:b/>
                <w:bCs/>
                <w:color w:val="000000" w:themeColor="text1"/>
                <w:sz w:val="24"/>
                <w:szCs w:val="24"/>
              </w:rPr>
              <w:t>Resolution</w:t>
            </w:r>
            <w:r>
              <w:rPr>
                <w:color w:val="000000" w:themeColor="text1"/>
                <w:sz w:val="24"/>
                <w:szCs w:val="24"/>
              </w:rPr>
              <w:t xml:space="preserve">: to </w:t>
            </w:r>
            <w:r w:rsidRPr="00406A92">
              <w:rPr>
                <w:b/>
                <w:bCs/>
                <w:sz w:val="24"/>
                <w:szCs w:val="24"/>
              </w:rPr>
              <w:t xml:space="preserve">recommend </w:t>
            </w:r>
            <w:r>
              <w:rPr>
                <w:color w:val="000000" w:themeColor="text1"/>
                <w:sz w:val="24"/>
                <w:szCs w:val="24"/>
              </w:rPr>
              <w:t>t</w:t>
            </w:r>
            <w:r w:rsidR="00D400BA">
              <w:rPr>
                <w:color w:val="000000" w:themeColor="text1"/>
                <w:sz w:val="24"/>
                <w:szCs w:val="24"/>
              </w:rPr>
              <w:t>he Annual Pay Gap Report t</w:t>
            </w:r>
            <w:r>
              <w:rPr>
                <w:color w:val="000000" w:themeColor="text1"/>
                <w:sz w:val="24"/>
                <w:szCs w:val="24"/>
              </w:rPr>
              <w:t>o the Board of Governors.</w:t>
            </w:r>
          </w:p>
        </w:tc>
      </w:tr>
      <w:tr w:rsidR="008104FF" w:rsidRPr="008A753B" w14:paraId="3F534A55" w14:textId="77777777" w:rsidTr="00C650F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88DA44" w14:textId="348F8A78" w:rsidR="008104FF" w:rsidRPr="008A753B" w:rsidRDefault="008104FF" w:rsidP="00C650F7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bookmarkStart w:id="2" w:name="_Hlk114508986"/>
            <w:r>
              <w:t>FEC_2023_11_16_</w:t>
            </w:r>
            <w:r w:rsidR="00D400BA">
              <w:t>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2A5438" w14:textId="77777777" w:rsidR="008104FF" w:rsidRPr="008A753B" w:rsidRDefault="008104FF" w:rsidP="00C650F7">
            <w:pPr>
              <w:pStyle w:val="Heading2"/>
            </w:pPr>
            <w:r>
              <w:t>PEOPLE PLAN REPORT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EDC960" w14:textId="77777777" w:rsidR="008104FF" w:rsidRPr="00CF367D" w:rsidRDefault="008104FF" w:rsidP="00C650F7">
            <w:pPr>
              <w:pStyle w:val="Heading3"/>
              <w:spacing w:before="60" w:after="60"/>
              <w:ind w:left="-113" w:right="-110"/>
              <w:jc w:val="right"/>
            </w:pPr>
            <w:r>
              <w:t>FEC_2023_11_16_P7</w:t>
            </w:r>
          </w:p>
        </w:tc>
      </w:tr>
      <w:tr w:rsidR="008104FF" w:rsidRPr="00EE70CB" w14:paraId="33CE576D" w14:textId="77777777" w:rsidTr="00C650F7">
        <w:tc>
          <w:tcPr>
            <w:tcW w:w="1560" w:type="dxa"/>
            <w:tcBorders>
              <w:top w:val="nil"/>
              <w:bottom w:val="nil"/>
            </w:tcBorders>
          </w:tcPr>
          <w:p w14:paraId="79576C6D" w14:textId="3D2247E2" w:rsidR="008104FF" w:rsidRDefault="00D400BA" w:rsidP="00C650F7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104FF"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29E791BA" w14:textId="1F8345FB" w:rsidR="008104FF" w:rsidRPr="008104FF" w:rsidRDefault="008104FF" w:rsidP="00C650F7">
            <w:pPr>
              <w:spacing w:before="60" w:after="60"/>
              <w:rPr>
                <w:sz w:val="24"/>
                <w:szCs w:val="24"/>
              </w:rPr>
            </w:pPr>
            <w:r w:rsidRPr="008104FF">
              <w:rPr>
                <w:b/>
                <w:bCs/>
                <w:sz w:val="24"/>
                <w:szCs w:val="24"/>
              </w:rPr>
              <w:t xml:space="preserve">Industrial action: </w:t>
            </w:r>
            <w:r w:rsidRPr="008104FF">
              <w:rPr>
                <w:sz w:val="24"/>
                <w:szCs w:val="24"/>
              </w:rPr>
              <w:t xml:space="preserve"> </w:t>
            </w:r>
            <w:r w:rsidR="00D400BA">
              <w:rPr>
                <w:sz w:val="24"/>
                <w:szCs w:val="24"/>
              </w:rPr>
              <w:t xml:space="preserve">it was reported that </w:t>
            </w:r>
            <w:r w:rsidRPr="008104FF">
              <w:rPr>
                <w:rStyle w:val="normaltextrun"/>
                <w:sz w:val="24"/>
                <w:szCs w:val="24"/>
              </w:rPr>
              <w:t xml:space="preserve">UCU </w:t>
            </w:r>
            <w:r w:rsidR="00D400BA">
              <w:rPr>
                <w:rStyle w:val="normaltextrun"/>
                <w:sz w:val="24"/>
                <w:szCs w:val="24"/>
              </w:rPr>
              <w:t>had failed to reach the</w:t>
            </w:r>
            <w:r w:rsidRPr="008104FF">
              <w:rPr>
                <w:rStyle w:val="normaltextrun"/>
                <w:sz w:val="24"/>
                <w:szCs w:val="24"/>
              </w:rPr>
              <w:t xml:space="preserve"> required </w:t>
            </w:r>
            <w:r w:rsidR="00D400BA">
              <w:rPr>
                <w:rStyle w:val="normaltextrun"/>
                <w:sz w:val="24"/>
                <w:szCs w:val="24"/>
              </w:rPr>
              <w:t>threshold in its recent b</w:t>
            </w:r>
            <w:r w:rsidRPr="008104FF">
              <w:rPr>
                <w:rStyle w:val="normaltextrun"/>
                <w:sz w:val="24"/>
                <w:szCs w:val="24"/>
              </w:rPr>
              <w:t>allot</w:t>
            </w:r>
            <w:r w:rsidR="00D400BA">
              <w:rPr>
                <w:rStyle w:val="normaltextrun"/>
                <w:sz w:val="24"/>
                <w:szCs w:val="24"/>
              </w:rPr>
              <w:t xml:space="preserve"> and </w:t>
            </w:r>
            <w:r w:rsidR="00856670">
              <w:rPr>
                <w:rStyle w:val="normaltextrun"/>
                <w:sz w:val="24"/>
                <w:szCs w:val="24"/>
              </w:rPr>
              <w:t xml:space="preserve">consequently </w:t>
            </w:r>
            <w:r w:rsidR="00D400BA">
              <w:rPr>
                <w:rStyle w:val="normaltextrun"/>
                <w:sz w:val="24"/>
                <w:szCs w:val="24"/>
              </w:rPr>
              <w:t>had n</w:t>
            </w:r>
            <w:r w:rsidRPr="008104FF">
              <w:rPr>
                <w:rStyle w:val="normaltextrun"/>
                <w:sz w:val="24"/>
                <w:szCs w:val="24"/>
              </w:rPr>
              <w:t>o mandate for industrial action</w:t>
            </w:r>
            <w:r w:rsidR="00D400BA">
              <w:rPr>
                <w:rStyle w:val="normaltextrun"/>
                <w:sz w:val="24"/>
                <w:szCs w:val="24"/>
              </w:rPr>
              <w:t xml:space="preserve"> at this time. However, </w:t>
            </w:r>
            <w:r w:rsidRPr="008104FF">
              <w:rPr>
                <w:rStyle w:val="normaltextrun"/>
                <w:sz w:val="24"/>
                <w:szCs w:val="24"/>
              </w:rPr>
              <w:t>UCU remain</w:t>
            </w:r>
            <w:r w:rsidR="00D400BA">
              <w:rPr>
                <w:rStyle w:val="normaltextrun"/>
                <w:sz w:val="24"/>
                <w:szCs w:val="24"/>
              </w:rPr>
              <w:t>ed</w:t>
            </w:r>
            <w:r w:rsidRPr="008104FF">
              <w:rPr>
                <w:rStyle w:val="normaltextrun"/>
                <w:sz w:val="24"/>
                <w:szCs w:val="24"/>
              </w:rPr>
              <w:t xml:space="preserve"> in dispute and </w:t>
            </w:r>
            <w:r w:rsidR="00856670">
              <w:rPr>
                <w:rStyle w:val="normaltextrun"/>
                <w:sz w:val="24"/>
                <w:szCs w:val="24"/>
              </w:rPr>
              <w:t>may</w:t>
            </w:r>
            <w:r w:rsidRPr="008104FF">
              <w:rPr>
                <w:rStyle w:val="normaltextrun"/>
                <w:sz w:val="24"/>
                <w:szCs w:val="24"/>
              </w:rPr>
              <w:t xml:space="preserve"> call </w:t>
            </w:r>
            <w:r w:rsidR="00D400BA">
              <w:rPr>
                <w:rStyle w:val="normaltextrun"/>
                <w:sz w:val="24"/>
                <w:szCs w:val="24"/>
              </w:rPr>
              <w:t>a</w:t>
            </w:r>
            <w:r w:rsidRPr="008104FF">
              <w:rPr>
                <w:rStyle w:val="normaltextrun"/>
                <w:sz w:val="24"/>
                <w:szCs w:val="24"/>
              </w:rPr>
              <w:t xml:space="preserve"> further nationa</w:t>
            </w:r>
            <w:r w:rsidR="00D400BA">
              <w:rPr>
                <w:rStyle w:val="normaltextrun"/>
                <w:sz w:val="24"/>
                <w:szCs w:val="24"/>
              </w:rPr>
              <w:t xml:space="preserve">l </w:t>
            </w:r>
            <w:r w:rsidR="00856670">
              <w:rPr>
                <w:rStyle w:val="normaltextrun"/>
                <w:sz w:val="24"/>
                <w:szCs w:val="24"/>
              </w:rPr>
              <w:t>(</w:t>
            </w:r>
            <w:r w:rsidR="00D400BA">
              <w:rPr>
                <w:rStyle w:val="normaltextrun"/>
                <w:sz w:val="24"/>
                <w:szCs w:val="24"/>
              </w:rPr>
              <w:t xml:space="preserve">or </w:t>
            </w:r>
            <w:r w:rsidRPr="008104FF">
              <w:rPr>
                <w:rStyle w:val="normaltextrun"/>
                <w:sz w:val="24"/>
                <w:szCs w:val="24"/>
              </w:rPr>
              <w:t>local</w:t>
            </w:r>
            <w:r w:rsidR="00856670">
              <w:rPr>
                <w:rStyle w:val="normaltextrun"/>
                <w:sz w:val="24"/>
                <w:szCs w:val="24"/>
              </w:rPr>
              <w:t>)</w:t>
            </w:r>
            <w:r w:rsidRPr="008104FF">
              <w:rPr>
                <w:rStyle w:val="normaltextrun"/>
                <w:sz w:val="24"/>
                <w:szCs w:val="24"/>
              </w:rPr>
              <w:t xml:space="preserve"> ballot</w:t>
            </w:r>
            <w:r w:rsidR="00D400BA">
              <w:rPr>
                <w:rStyle w:val="normaltextrun"/>
                <w:sz w:val="24"/>
                <w:szCs w:val="24"/>
              </w:rPr>
              <w:t xml:space="preserve">. </w:t>
            </w:r>
            <w:r w:rsidR="00856670">
              <w:rPr>
                <w:rStyle w:val="normaltextrun"/>
                <w:sz w:val="24"/>
                <w:szCs w:val="24"/>
              </w:rPr>
              <w:t xml:space="preserve">It was noted that </w:t>
            </w:r>
            <w:r w:rsidR="00D400BA">
              <w:rPr>
                <w:rStyle w:val="normaltextrun"/>
                <w:sz w:val="24"/>
                <w:szCs w:val="24"/>
              </w:rPr>
              <w:t xml:space="preserve">Unison </w:t>
            </w:r>
            <w:r w:rsidR="00BA6C35">
              <w:rPr>
                <w:rStyle w:val="normaltextrun"/>
                <w:sz w:val="24"/>
                <w:szCs w:val="24"/>
              </w:rPr>
              <w:t>was</w:t>
            </w:r>
            <w:r w:rsidR="00D400BA">
              <w:rPr>
                <w:rStyle w:val="normaltextrun"/>
                <w:sz w:val="24"/>
                <w:szCs w:val="24"/>
              </w:rPr>
              <w:t xml:space="preserve"> also in dispute over the </w:t>
            </w:r>
            <w:r w:rsidRPr="008104FF">
              <w:rPr>
                <w:rStyle w:val="normaltextrun"/>
                <w:sz w:val="24"/>
                <w:szCs w:val="24"/>
              </w:rPr>
              <w:t xml:space="preserve">2023/24 pay award </w:t>
            </w:r>
            <w:r w:rsidR="00D400BA">
              <w:rPr>
                <w:rStyle w:val="normaltextrun"/>
                <w:sz w:val="24"/>
                <w:szCs w:val="24"/>
              </w:rPr>
              <w:t>and</w:t>
            </w:r>
            <w:r w:rsidR="00856670">
              <w:rPr>
                <w:rStyle w:val="normaltextrun"/>
                <w:sz w:val="24"/>
                <w:szCs w:val="24"/>
              </w:rPr>
              <w:t xml:space="preserve"> that</w:t>
            </w:r>
            <w:r w:rsidR="00D400BA">
              <w:rPr>
                <w:rStyle w:val="normaltextrun"/>
                <w:sz w:val="24"/>
                <w:szCs w:val="24"/>
              </w:rPr>
              <w:t xml:space="preserve"> the </w:t>
            </w:r>
            <w:r w:rsidR="00856670" w:rsidRPr="008104FF">
              <w:rPr>
                <w:rStyle w:val="normaltextrun"/>
                <w:sz w:val="24"/>
                <w:szCs w:val="24"/>
              </w:rPr>
              <w:t>local branch</w:t>
            </w:r>
            <w:r w:rsidRPr="008104FF">
              <w:rPr>
                <w:rStyle w:val="normaltextrun"/>
                <w:sz w:val="24"/>
                <w:szCs w:val="24"/>
              </w:rPr>
              <w:t xml:space="preserve"> </w:t>
            </w:r>
            <w:r w:rsidR="00D400BA">
              <w:rPr>
                <w:rStyle w:val="normaltextrun"/>
                <w:sz w:val="24"/>
                <w:szCs w:val="24"/>
              </w:rPr>
              <w:t xml:space="preserve">had </w:t>
            </w:r>
            <w:r w:rsidRPr="008104FF">
              <w:rPr>
                <w:rStyle w:val="normaltextrun"/>
                <w:sz w:val="24"/>
                <w:szCs w:val="24"/>
              </w:rPr>
              <w:t xml:space="preserve">opted to join </w:t>
            </w:r>
            <w:r w:rsidR="00856670">
              <w:rPr>
                <w:rStyle w:val="normaltextrun"/>
                <w:sz w:val="24"/>
                <w:szCs w:val="24"/>
              </w:rPr>
              <w:t xml:space="preserve">the </w:t>
            </w:r>
            <w:r w:rsidRPr="008104FF">
              <w:rPr>
                <w:rStyle w:val="normaltextrun"/>
                <w:sz w:val="24"/>
                <w:szCs w:val="24"/>
              </w:rPr>
              <w:t xml:space="preserve">national action. </w:t>
            </w:r>
          </w:p>
        </w:tc>
      </w:tr>
      <w:tr w:rsidR="008104FF" w:rsidRPr="00EE70CB" w14:paraId="722F3CE4" w14:textId="77777777" w:rsidTr="00C650F7">
        <w:tc>
          <w:tcPr>
            <w:tcW w:w="1560" w:type="dxa"/>
            <w:tcBorders>
              <w:top w:val="nil"/>
              <w:bottom w:val="nil"/>
            </w:tcBorders>
          </w:tcPr>
          <w:p w14:paraId="0DFCB5AF" w14:textId="321E1AED" w:rsidR="008104FF" w:rsidRDefault="00D400BA" w:rsidP="00C650F7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104FF">
              <w:rPr>
                <w:sz w:val="24"/>
                <w:szCs w:val="24"/>
              </w:rPr>
              <w:t>.2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32D2C02F" w14:textId="1D5B310F" w:rsidR="008104FF" w:rsidRPr="00406A92" w:rsidRDefault="00D400BA" w:rsidP="00040B9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CPO/PVCDI</w:t>
            </w:r>
            <w:r w:rsidR="008104FF" w:rsidRPr="00406A92">
              <w:rPr>
                <w:sz w:val="24"/>
                <w:szCs w:val="24"/>
              </w:rPr>
              <w:t xml:space="preserve"> </w:t>
            </w:r>
            <w:r w:rsidR="008104FF">
              <w:rPr>
                <w:sz w:val="24"/>
                <w:szCs w:val="24"/>
              </w:rPr>
              <w:t>reported</w:t>
            </w:r>
            <w:r w:rsidR="008104FF" w:rsidRPr="00406A92">
              <w:rPr>
                <w:sz w:val="24"/>
                <w:szCs w:val="24"/>
              </w:rPr>
              <w:t xml:space="preserve"> on the following items which </w:t>
            </w:r>
            <w:r>
              <w:rPr>
                <w:sz w:val="24"/>
                <w:szCs w:val="24"/>
              </w:rPr>
              <w:t>had been</w:t>
            </w:r>
            <w:r w:rsidR="008104FF" w:rsidRPr="00406A92">
              <w:rPr>
                <w:sz w:val="24"/>
                <w:szCs w:val="24"/>
              </w:rPr>
              <w:t xml:space="preserve"> approved by </w:t>
            </w:r>
            <w:r>
              <w:rPr>
                <w:sz w:val="24"/>
                <w:szCs w:val="24"/>
              </w:rPr>
              <w:t>the University Executive Board (</w:t>
            </w:r>
            <w:r w:rsidR="008104FF" w:rsidRPr="00406A92">
              <w:rPr>
                <w:sz w:val="24"/>
                <w:szCs w:val="24"/>
              </w:rPr>
              <w:t>UEB</w:t>
            </w:r>
            <w:r>
              <w:rPr>
                <w:sz w:val="24"/>
                <w:szCs w:val="24"/>
              </w:rPr>
              <w:t xml:space="preserve">) </w:t>
            </w:r>
            <w:r w:rsidR="00856670">
              <w:rPr>
                <w:sz w:val="24"/>
                <w:szCs w:val="24"/>
              </w:rPr>
              <w:t>earlier</w:t>
            </w:r>
            <w:r w:rsidR="008104FF" w:rsidRPr="00406A92">
              <w:rPr>
                <w:sz w:val="24"/>
                <w:szCs w:val="24"/>
              </w:rPr>
              <w:t xml:space="preserve"> in November.</w:t>
            </w:r>
          </w:p>
          <w:p w14:paraId="2CB9E266" w14:textId="0A207705" w:rsidR="00282250" w:rsidRPr="00040B9A" w:rsidRDefault="00D400BA" w:rsidP="00040B9A">
            <w:pPr>
              <w:spacing w:before="60" w:after="60"/>
              <w:rPr>
                <w:sz w:val="24"/>
                <w:szCs w:val="24"/>
              </w:rPr>
            </w:pPr>
            <w:r w:rsidRPr="00D400BA">
              <w:rPr>
                <w:b/>
                <w:bCs/>
                <w:sz w:val="24"/>
                <w:szCs w:val="24"/>
              </w:rPr>
              <w:t xml:space="preserve">Revised </w:t>
            </w:r>
            <w:r w:rsidR="008104FF" w:rsidRPr="00D400BA">
              <w:rPr>
                <w:b/>
                <w:bCs/>
                <w:sz w:val="24"/>
                <w:szCs w:val="24"/>
              </w:rPr>
              <w:t xml:space="preserve">Academic Career Framework </w:t>
            </w:r>
            <w:r w:rsidRPr="00D400BA">
              <w:rPr>
                <w:b/>
                <w:bCs/>
                <w:sz w:val="24"/>
                <w:szCs w:val="24"/>
              </w:rPr>
              <w:t>(ACF):</w:t>
            </w:r>
            <w:r>
              <w:rPr>
                <w:sz w:val="24"/>
                <w:szCs w:val="24"/>
              </w:rPr>
              <w:t xml:space="preserve"> </w:t>
            </w:r>
            <w:r w:rsidR="00040B9A">
              <w:rPr>
                <w:sz w:val="24"/>
                <w:szCs w:val="24"/>
              </w:rPr>
              <w:t xml:space="preserve">key changes to the Professor/Associate Professor </w:t>
            </w:r>
            <w:r w:rsidR="008104FF" w:rsidRPr="00D400BA">
              <w:rPr>
                <w:sz w:val="24"/>
                <w:szCs w:val="24"/>
              </w:rPr>
              <w:t xml:space="preserve">application/review process </w:t>
            </w:r>
            <w:r w:rsidR="00040B9A">
              <w:rPr>
                <w:sz w:val="24"/>
                <w:szCs w:val="24"/>
              </w:rPr>
              <w:t xml:space="preserve">including the </w:t>
            </w:r>
            <w:r w:rsidR="008104FF" w:rsidRPr="00D400BA">
              <w:rPr>
                <w:sz w:val="24"/>
                <w:szCs w:val="24"/>
              </w:rPr>
              <w:t>addition of expectation</w:t>
            </w:r>
            <w:r w:rsidR="00040B9A">
              <w:rPr>
                <w:sz w:val="24"/>
                <w:szCs w:val="24"/>
              </w:rPr>
              <w:t>s around</w:t>
            </w:r>
            <w:r w:rsidR="008104FF" w:rsidRPr="00D400BA">
              <w:rPr>
                <w:sz w:val="24"/>
                <w:szCs w:val="24"/>
              </w:rPr>
              <w:t xml:space="preserve"> </w:t>
            </w:r>
            <w:r w:rsidR="00040B9A" w:rsidRPr="00D400BA">
              <w:rPr>
                <w:sz w:val="24"/>
                <w:szCs w:val="24"/>
              </w:rPr>
              <w:t xml:space="preserve">demonstrable </w:t>
            </w:r>
            <w:r w:rsidR="00040B9A">
              <w:rPr>
                <w:sz w:val="24"/>
                <w:szCs w:val="24"/>
              </w:rPr>
              <w:t>impact on the</w:t>
            </w:r>
            <w:r w:rsidR="008104FF" w:rsidRPr="00D400BA">
              <w:rPr>
                <w:sz w:val="24"/>
                <w:szCs w:val="24"/>
              </w:rPr>
              <w:t xml:space="preserve"> student experience, enhancement of E</w:t>
            </w:r>
            <w:r w:rsidR="00475E05">
              <w:rPr>
                <w:sz w:val="24"/>
                <w:szCs w:val="24"/>
              </w:rPr>
              <w:t>E</w:t>
            </w:r>
            <w:r w:rsidR="008104FF" w:rsidRPr="00D400BA">
              <w:rPr>
                <w:sz w:val="24"/>
                <w:szCs w:val="24"/>
              </w:rPr>
              <w:t>DI</w:t>
            </w:r>
            <w:r w:rsidR="00040B9A">
              <w:rPr>
                <w:sz w:val="24"/>
                <w:szCs w:val="24"/>
              </w:rPr>
              <w:t xml:space="preserve"> and performance in securing</w:t>
            </w:r>
            <w:r w:rsidR="008104FF" w:rsidRPr="00D400BA">
              <w:rPr>
                <w:sz w:val="24"/>
                <w:szCs w:val="24"/>
              </w:rPr>
              <w:t xml:space="preserve"> external funding</w:t>
            </w:r>
            <w:r w:rsidR="00040B9A">
              <w:rPr>
                <w:sz w:val="24"/>
                <w:szCs w:val="24"/>
              </w:rPr>
              <w:t>. I</w:t>
            </w:r>
            <w:r w:rsidR="00856670">
              <w:rPr>
                <w:sz w:val="24"/>
                <w:szCs w:val="24"/>
              </w:rPr>
              <w:t>n</w:t>
            </w:r>
            <w:r w:rsidR="00040B9A">
              <w:rPr>
                <w:sz w:val="24"/>
                <w:szCs w:val="24"/>
              </w:rPr>
              <w:t xml:space="preserve"> response to a member’s query, it was noted that </w:t>
            </w:r>
            <w:r w:rsidR="00475E05">
              <w:rPr>
                <w:sz w:val="24"/>
                <w:szCs w:val="24"/>
              </w:rPr>
              <w:t>following</w:t>
            </w:r>
            <w:r w:rsidR="00040B9A">
              <w:rPr>
                <w:sz w:val="24"/>
                <w:szCs w:val="24"/>
              </w:rPr>
              <w:t xml:space="preserve"> appointment, performance was monitor</w:t>
            </w:r>
            <w:r w:rsidR="00475E05">
              <w:rPr>
                <w:sz w:val="24"/>
                <w:szCs w:val="24"/>
              </w:rPr>
              <w:t>ed</w:t>
            </w:r>
            <w:r w:rsidR="00040B9A">
              <w:rPr>
                <w:sz w:val="24"/>
                <w:szCs w:val="24"/>
              </w:rPr>
              <w:t xml:space="preserve"> through the PDR process</w:t>
            </w:r>
            <w:r w:rsidR="00856670">
              <w:rPr>
                <w:sz w:val="24"/>
                <w:szCs w:val="24"/>
              </w:rPr>
              <w:t xml:space="preserve"> and that a more detailed briefing for Governors would be taking place in early 2024.</w:t>
            </w:r>
            <w:r w:rsidR="00040B9A">
              <w:rPr>
                <w:sz w:val="24"/>
                <w:szCs w:val="24"/>
              </w:rPr>
              <w:t xml:space="preserve"> </w:t>
            </w:r>
            <w:r w:rsidR="008104FF" w:rsidRPr="00D400BA">
              <w:rPr>
                <w:sz w:val="24"/>
                <w:szCs w:val="24"/>
              </w:rPr>
              <w:t xml:space="preserve"> </w:t>
            </w:r>
          </w:p>
        </w:tc>
      </w:tr>
      <w:tr w:rsidR="008104FF" w:rsidRPr="00EE70CB" w14:paraId="30BC4B8F" w14:textId="77777777" w:rsidTr="00C650F7">
        <w:tc>
          <w:tcPr>
            <w:tcW w:w="1560" w:type="dxa"/>
            <w:tcBorders>
              <w:top w:val="nil"/>
              <w:bottom w:val="nil"/>
            </w:tcBorders>
          </w:tcPr>
          <w:p w14:paraId="320A8A25" w14:textId="3740D8D5" w:rsidR="008104FF" w:rsidRDefault="00D400BA" w:rsidP="00C650F7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59627200" w14:textId="0972652E" w:rsidR="005A45D3" w:rsidRPr="005A45D3" w:rsidRDefault="00040B9A" w:rsidP="00040B9A">
            <w:pPr>
              <w:spacing w:before="60" w:after="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Temporary flexible working arrangements:</w:t>
            </w:r>
            <w:r w:rsidR="005A45D3" w:rsidRPr="00D400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UEB had </w:t>
            </w:r>
            <w:r w:rsidR="00AD0A7D">
              <w:rPr>
                <w:sz w:val="24"/>
                <w:szCs w:val="24"/>
              </w:rPr>
              <w:t>approved a temporar</w:t>
            </w:r>
            <w:r w:rsidR="00856670">
              <w:rPr>
                <w:sz w:val="24"/>
                <w:szCs w:val="24"/>
              </w:rPr>
              <w:t>y change</w:t>
            </w:r>
            <w:r w:rsidR="00AD0A7D">
              <w:rPr>
                <w:sz w:val="24"/>
                <w:szCs w:val="24"/>
              </w:rPr>
              <w:t xml:space="preserve"> to the flexible working arrangements. All</w:t>
            </w:r>
            <w:r>
              <w:rPr>
                <w:sz w:val="24"/>
                <w:szCs w:val="24"/>
              </w:rPr>
              <w:t xml:space="preserve"> staff</w:t>
            </w:r>
            <w:r w:rsidR="005A45D3" w:rsidRPr="00D400BA">
              <w:rPr>
                <w:sz w:val="24"/>
                <w:szCs w:val="24"/>
              </w:rPr>
              <w:t xml:space="preserve"> </w:t>
            </w:r>
            <w:r w:rsidR="00AD0A7D">
              <w:rPr>
                <w:sz w:val="24"/>
                <w:szCs w:val="24"/>
              </w:rPr>
              <w:t xml:space="preserve">would be able </w:t>
            </w:r>
            <w:r w:rsidR="005A45D3" w:rsidRPr="00D400BA">
              <w:rPr>
                <w:sz w:val="24"/>
                <w:szCs w:val="24"/>
              </w:rPr>
              <w:t xml:space="preserve">to </w:t>
            </w:r>
            <w:r w:rsidR="00AD0A7D">
              <w:rPr>
                <w:sz w:val="24"/>
                <w:szCs w:val="24"/>
              </w:rPr>
              <w:t>request a reduc</w:t>
            </w:r>
            <w:r w:rsidR="00856670">
              <w:rPr>
                <w:sz w:val="24"/>
                <w:szCs w:val="24"/>
              </w:rPr>
              <w:t xml:space="preserve">tion in their </w:t>
            </w:r>
            <w:r w:rsidR="005A45D3" w:rsidRPr="00D400BA">
              <w:rPr>
                <w:sz w:val="24"/>
                <w:szCs w:val="24"/>
              </w:rPr>
              <w:t>working hours</w:t>
            </w:r>
            <w:r w:rsidR="00AD0A7D">
              <w:rPr>
                <w:sz w:val="24"/>
                <w:szCs w:val="24"/>
              </w:rPr>
              <w:t xml:space="preserve"> (in agreement with their Line Manager)</w:t>
            </w:r>
            <w:r w:rsidR="005A45D3" w:rsidRPr="00D400BA">
              <w:rPr>
                <w:sz w:val="24"/>
                <w:szCs w:val="24"/>
              </w:rPr>
              <w:t xml:space="preserve"> </w:t>
            </w:r>
            <w:r w:rsidR="00AD0A7D">
              <w:rPr>
                <w:sz w:val="24"/>
                <w:szCs w:val="24"/>
              </w:rPr>
              <w:t xml:space="preserve">with effect from </w:t>
            </w:r>
            <w:r>
              <w:rPr>
                <w:sz w:val="24"/>
                <w:szCs w:val="24"/>
              </w:rPr>
              <w:t>15 November</w:t>
            </w:r>
            <w:r w:rsidR="00AD0A7D">
              <w:rPr>
                <w:sz w:val="24"/>
                <w:szCs w:val="24"/>
              </w:rPr>
              <w:t xml:space="preserve"> </w:t>
            </w:r>
            <w:r w:rsidR="00856670">
              <w:rPr>
                <w:sz w:val="24"/>
                <w:szCs w:val="24"/>
              </w:rPr>
              <w:t xml:space="preserve">2023 </w:t>
            </w:r>
            <w:r w:rsidR="00AD0A7D">
              <w:rPr>
                <w:sz w:val="24"/>
                <w:szCs w:val="24"/>
              </w:rPr>
              <w:t>to</w:t>
            </w:r>
            <w:r w:rsidR="005A45D3" w:rsidRPr="00D400BA">
              <w:rPr>
                <w:sz w:val="24"/>
                <w:szCs w:val="24"/>
              </w:rPr>
              <w:t xml:space="preserve"> July 2024. </w:t>
            </w:r>
            <w:r w:rsidR="00AD0A7D">
              <w:rPr>
                <w:sz w:val="24"/>
                <w:szCs w:val="24"/>
              </w:rPr>
              <w:t>Line Managers would need to ensure other staff were not adversely affected by any such arrangements but</w:t>
            </w:r>
            <w:r w:rsidR="00856670">
              <w:rPr>
                <w:sz w:val="24"/>
                <w:szCs w:val="24"/>
              </w:rPr>
              <w:t>,</w:t>
            </w:r>
            <w:r w:rsidR="00AD0A7D">
              <w:rPr>
                <w:sz w:val="24"/>
                <w:szCs w:val="24"/>
              </w:rPr>
              <w:t xml:space="preserve"> with effective local management</w:t>
            </w:r>
            <w:r w:rsidR="00856670">
              <w:rPr>
                <w:sz w:val="24"/>
                <w:szCs w:val="24"/>
              </w:rPr>
              <w:t>,</w:t>
            </w:r>
            <w:r w:rsidR="00AD0A7D">
              <w:rPr>
                <w:sz w:val="24"/>
                <w:szCs w:val="24"/>
              </w:rPr>
              <w:t xml:space="preserve"> </w:t>
            </w:r>
            <w:r w:rsidR="00856670">
              <w:rPr>
                <w:sz w:val="24"/>
                <w:szCs w:val="24"/>
              </w:rPr>
              <w:t xml:space="preserve">it was noted that </w:t>
            </w:r>
            <w:r w:rsidR="00AD0A7D">
              <w:rPr>
                <w:sz w:val="24"/>
                <w:szCs w:val="24"/>
              </w:rPr>
              <w:t>this should be achievable. Members suggested that</w:t>
            </w:r>
            <w:r>
              <w:rPr>
                <w:sz w:val="24"/>
                <w:szCs w:val="24"/>
              </w:rPr>
              <w:t xml:space="preserve"> this initiative would need to be accompanied by efforts to stop/pause non-critical activity to mitigate the impact across the University</w:t>
            </w:r>
            <w:r w:rsidR="00AD0A7D">
              <w:rPr>
                <w:sz w:val="24"/>
                <w:szCs w:val="24"/>
              </w:rPr>
              <w:t xml:space="preserve"> and</w:t>
            </w:r>
            <w:r w:rsidR="00856670">
              <w:rPr>
                <w:sz w:val="24"/>
                <w:szCs w:val="24"/>
              </w:rPr>
              <w:t xml:space="preserve">, on the assumption that </w:t>
            </w:r>
            <w:r w:rsidR="00AD0A7D">
              <w:rPr>
                <w:sz w:val="24"/>
                <w:szCs w:val="24"/>
              </w:rPr>
              <w:t>women were more likely to take up the offer, t</w:t>
            </w:r>
            <w:r w:rsidR="00856670">
              <w:rPr>
                <w:sz w:val="24"/>
                <w:szCs w:val="24"/>
              </w:rPr>
              <w:t>hat t</w:t>
            </w:r>
            <w:r w:rsidR="00AD0A7D">
              <w:rPr>
                <w:sz w:val="24"/>
                <w:szCs w:val="24"/>
              </w:rPr>
              <w:t xml:space="preserve">his should not impact </w:t>
            </w:r>
            <w:r>
              <w:rPr>
                <w:sz w:val="24"/>
                <w:szCs w:val="24"/>
              </w:rPr>
              <w:t>future career prospects</w:t>
            </w:r>
            <w:r w:rsidR="00AD0A7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FEC noted that </w:t>
            </w:r>
            <w:r w:rsidR="00944482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Human Resource and Organisational Development (HROD) </w:t>
            </w:r>
            <w:r w:rsidR="00944482">
              <w:rPr>
                <w:sz w:val="24"/>
                <w:szCs w:val="24"/>
              </w:rPr>
              <w:t>Business Partners were</w:t>
            </w:r>
            <w:r>
              <w:rPr>
                <w:sz w:val="24"/>
                <w:szCs w:val="24"/>
              </w:rPr>
              <w:t xml:space="preserve"> working closely with Line Manager</w:t>
            </w:r>
            <w:r w:rsidR="00E34BC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to monitor </w:t>
            </w:r>
            <w:r w:rsidR="00E34BC9">
              <w:rPr>
                <w:sz w:val="24"/>
                <w:szCs w:val="24"/>
              </w:rPr>
              <w:t xml:space="preserve">and mitigate this as far as possible.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104FF" w:rsidRPr="00EE70CB" w14:paraId="44EEDCF4" w14:textId="77777777" w:rsidTr="00C650F7">
        <w:tc>
          <w:tcPr>
            <w:tcW w:w="1560" w:type="dxa"/>
            <w:tcBorders>
              <w:top w:val="nil"/>
              <w:bottom w:val="nil"/>
            </w:tcBorders>
          </w:tcPr>
          <w:p w14:paraId="5A918697" w14:textId="2497F62F" w:rsidR="008104FF" w:rsidRDefault="00D400BA" w:rsidP="00C650F7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1BE540AD" w14:textId="10EFDF42" w:rsidR="00984E0D" w:rsidRPr="00E34BC9" w:rsidRDefault="008104FF" w:rsidP="00E34BC9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844371">
              <w:rPr>
                <w:b/>
                <w:bCs/>
                <w:sz w:val="24"/>
                <w:szCs w:val="24"/>
              </w:rPr>
              <w:t>Academic Career Pathway</w:t>
            </w:r>
            <w:r w:rsidR="00844371" w:rsidRPr="00844371">
              <w:rPr>
                <w:b/>
                <w:bCs/>
                <w:sz w:val="24"/>
                <w:szCs w:val="24"/>
              </w:rPr>
              <w:t>:</w:t>
            </w:r>
            <w:r w:rsidR="00E34BC9">
              <w:rPr>
                <w:b/>
                <w:bCs/>
                <w:sz w:val="24"/>
                <w:szCs w:val="24"/>
              </w:rPr>
              <w:t xml:space="preserve"> </w:t>
            </w:r>
            <w:r w:rsidR="00E34BC9" w:rsidRPr="00AD0A7D">
              <w:rPr>
                <w:sz w:val="24"/>
                <w:szCs w:val="24"/>
              </w:rPr>
              <w:t>U</w:t>
            </w:r>
            <w:r w:rsidR="00E34BC9" w:rsidRPr="00E34BC9">
              <w:rPr>
                <w:sz w:val="24"/>
                <w:szCs w:val="24"/>
              </w:rPr>
              <w:t xml:space="preserve">EB approved </w:t>
            </w:r>
            <w:r w:rsidR="00AD0A7D">
              <w:rPr>
                <w:sz w:val="24"/>
                <w:szCs w:val="24"/>
              </w:rPr>
              <w:t>the</w:t>
            </w:r>
            <w:r w:rsidR="00E34BC9" w:rsidRPr="00E34BC9">
              <w:rPr>
                <w:sz w:val="24"/>
                <w:szCs w:val="24"/>
              </w:rPr>
              <w:t xml:space="preserve"> </w:t>
            </w:r>
            <w:r w:rsidR="00844371" w:rsidRPr="00E34BC9">
              <w:rPr>
                <w:sz w:val="24"/>
                <w:szCs w:val="24"/>
              </w:rPr>
              <w:t>implement</w:t>
            </w:r>
            <w:r w:rsidR="00AD0A7D">
              <w:rPr>
                <w:sz w:val="24"/>
                <w:szCs w:val="24"/>
              </w:rPr>
              <w:t>ation</w:t>
            </w:r>
            <w:r w:rsidR="00844371" w:rsidRPr="00E34BC9">
              <w:rPr>
                <w:sz w:val="24"/>
                <w:szCs w:val="24"/>
              </w:rPr>
              <w:t xml:space="preserve"> </w:t>
            </w:r>
            <w:r w:rsidR="00944482">
              <w:rPr>
                <w:sz w:val="24"/>
                <w:szCs w:val="24"/>
              </w:rPr>
              <w:t>of a</w:t>
            </w:r>
            <w:r w:rsidR="00844371" w:rsidRPr="00E34BC9">
              <w:rPr>
                <w:sz w:val="24"/>
                <w:szCs w:val="24"/>
              </w:rPr>
              <w:t xml:space="preserve"> </w:t>
            </w:r>
            <w:r w:rsidR="00E34BC9" w:rsidRPr="00E34BC9">
              <w:rPr>
                <w:sz w:val="24"/>
                <w:szCs w:val="24"/>
              </w:rPr>
              <w:t xml:space="preserve">new Grade 6 Teaching and Scholarship </w:t>
            </w:r>
            <w:r w:rsidR="00844371" w:rsidRPr="00E34BC9">
              <w:rPr>
                <w:sz w:val="24"/>
                <w:szCs w:val="24"/>
              </w:rPr>
              <w:t xml:space="preserve">post </w:t>
            </w:r>
            <w:r w:rsidR="00944482">
              <w:rPr>
                <w:sz w:val="24"/>
                <w:szCs w:val="24"/>
              </w:rPr>
              <w:t>from</w:t>
            </w:r>
            <w:r w:rsidR="00E34BC9" w:rsidRPr="00E34BC9">
              <w:rPr>
                <w:sz w:val="24"/>
                <w:szCs w:val="24"/>
              </w:rPr>
              <w:t xml:space="preserve"> January 2024 </w:t>
            </w:r>
            <w:r w:rsidR="00844371" w:rsidRPr="00E34BC9">
              <w:rPr>
                <w:sz w:val="24"/>
                <w:szCs w:val="24"/>
              </w:rPr>
              <w:t>and</w:t>
            </w:r>
            <w:r w:rsidR="00E34BC9" w:rsidRPr="00E34BC9">
              <w:rPr>
                <w:sz w:val="24"/>
                <w:szCs w:val="24"/>
              </w:rPr>
              <w:t xml:space="preserve"> to</w:t>
            </w:r>
            <w:r w:rsidR="00844371" w:rsidRPr="00E34BC9">
              <w:rPr>
                <w:sz w:val="24"/>
                <w:szCs w:val="24"/>
              </w:rPr>
              <w:t xml:space="preserve"> reinstate the full progression criteria </w:t>
            </w:r>
            <w:r w:rsidR="00AD0A7D">
              <w:rPr>
                <w:sz w:val="24"/>
                <w:szCs w:val="24"/>
              </w:rPr>
              <w:t>in relation to</w:t>
            </w:r>
            <w:r w:rsidR="00844371" w:rsidRPr="00E34BC9">
              <w:rPr>
                <w:sz w:val="24"/>
                <w:szCs w:val="24"/>
              </w:rPr>
              <w:t xml:space="preserve"> Lecturer progression</w:t>
            </w:r>
            <w:r w:rsidR="00984E0D" w:rsidRPr="00E34BC9">
              <w:rPr>
                <w:rFonts w:cstheme="minorHAnsi"/>
                <w:sz w:val="24"/>
              </w:rPr>
              <w:t xml:space="preserve"> from Grade 7 to 8</w:t>
            </w:r>
            <w:r w:rsidR="00E34BC9" w:rsidRPr="00E34BC9">
              <w:rPr>
                <w:rFonts w:cstheme="minorHAnsi"/>
                <w:sz w:val="24"/>
              </w:rPr>
              <w:t xml:space="preserve">. </w:t>
            </w:r>
          </w:p>
        </w:tc>
      </w:tr>
      <w:tr w:rsidR="008104FF" w:rsidRPr="00EE70CB" w14:paraId="288001DD" w14:textId="77777777" w:rsidTr="00C650F7">
        <w:tc>
          <w:tcPr>
            <w:tcW w:w="1560" w:type="dxa"/>
            <w:tcBorders>
              <w:top w:val="nil"/>
              <w:bottom w:val="nil"/>
            </w:tcBorders>
          </w:tcPr>
          <w:p w14:paraId="39B2C093" w14:textId="3E7C5A6E" w:rsidR="008104FF" w:rsidRDefault="00D400BA" w:rsidP="00C650F7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19929C39" w14:textId="4EBE6D5E" w:rsidR="008104FF" w:rsidRPr="00D400BA" w:rsidRDefault="00844371" w:rsidP="00E34BC9">
            <w:pPr>
              <w:spacing w:before="60" w:after="60"/>
              <w:rPr>
                <w:sz w:val="24"/>
                <w:szCs w:val="24"/>
              </w:rPr>
            </w:pPr>
            <w:r w:rsidRPr="00844371">
              <w:rPr>
                <w:b/>
                <w:bCs/>
                <w:sz w:val="24"/>
                <w:szCs w:val="24"/>
              </w:rPr>
              <w:t>A s</w:t>
            </w:r>
            <w:r w:rsidR="008104FF" w:rsidRPr="00844371">
              <w:rPr>
                <w:b/>
                <w:bCs/>
                <w:sz w:val="24"/>
                <w:szCs w:val="24"/>
              </w:rPr>
              <w:t xml:space="preserve">implified </w:t>
            </w:r>
            <w:r w:rsidRPr="00844371">
              <w:rPr>
                <w:b/>
                <w:bCs/>
                <w:sz w:val="24"/>
                <w:szCs w:val="24"/>
              </w:rPr>
              <w:t>Academic Work Planning (</w:t>
            </w:r>
            <w:r w:rsidR="008104FF" w:rsidRPr="00844371">
              <w:rPr>
                <w:b/>
                <w:bCs/>
                <w:sz w:val="24"/>
                <w:szCs w:val="24"/>
              </w:rPr>
              <w:t>AWP</w:t>
            </w:r>
            <w:r w:rsidRPr="00844371">
              <w:rPr>
                <w:b/>
                <w:bCs/>
                <w:sz w:val="24"/>
                <w:szCs w:val="24"/>
              </w:rPr>
              <w:t>)</w:t>
            </w:r>
            <w:r w:rsidR="00AD0A7D">
              <w:rPr>
                <w:b/>
                <w:bCs/>
                <w:sz w:val="24"/>
                <w:szCs w:val="24"/>
              </w:rPr>
              <w:t xml:space="preserve"> </w:t>
            </w:r>
            <w:r w:rsidR="008104FF" w:rsidRPr="00844371">
              <w:rPr>
                <w:b/>
                <w:bCs/>
                <w:sz w:val="24"/>
                <w:szCs w:val="24"/>
              </w:rPr>
              <w:t>model</w:t>
            </w:r>
            <w:r w:rsidRPr="00844371">
              <w:rPr>
                <w:b/>
                <w:bCs/>
                <w:sz w:val="24"/>
                <w:szCs w:val="24"/>
              </w:rPr>
              <w:t>:</w:t>
            </w:r>
            <w:r w:rsidR="00AD0A7D">
              <w:rPr>
                <w:sz w:val="24"/>
                <w:szCs w:val="24"/>
              </w:rPr>
              <w:t xml:space="preserve"> the new model</w:t>
            </w:r>
            <w:r w:rsidR="006739D8">
              <w:rPr>
                <w:sz w:val="24"/>
                <w:szCs w:val="24"/>
              </w:rPr>
              <w:t>, the principles of which had been agreed with the Deans,</w:t>
            </w:r>
            <w:r w:rsidR="00AD0A7D">
              <w:rPr>
                <w:sz w:val="24"/>
                <w:szCs w:val="24"/>
              </w:rPr>
              <w:t xml:space="preserve"> </w:t>
            </w:r>
            <w:r w:rsidR="006739D8">
              <w:rPr>
                <w:sz w:val="24"/>
                <w:szCs w:val="24"/>
              </w:rPr>
              <w:t xml:space="preserve">signalled a </w:t>
            </w:r>
            <w:r w:rsidR="00AD0A7D">
              <w:rPr>
                <w:sz w:val="24"/>
                <w:szCs w:val="24"/>
              </w:rPr>
              <w:t xml:space="preserve">less granular </w:t>
            </w:r>
            <w:r w:rsidR="00944482">
              <w:rPr>
                <w:sz w:val="24"/>
                <w:szCs w:val="24"/>
              </w:rPr>
              <w:t>approach to academic work planning</w:t>
            </w:r>
            <w:r w:rsidR="00944482" w:rsidRPr="00C524FA">
              <w:rPr>
                <w:sz w:val="24"/>
                <w:szCs w:val="24"/>
              </w:rPr>
              <w:t>. It was noted that the model contained</w:t>
            </w:r>
            <w:r w:rsidR="006739D8" w:rsidRPr="00C524FA">
              <w:rPr>
                <w:sz w:val="24"/>
                <w:szCs w:val="24"/>
              </w:rPr>
              <w:t xml:space="preserve"> three broad categories of activity with a strong emphasis on increasing </w:t>
            </w:r>
            <w:r w:rsidR="00282250" w:rsidRPr="00C524FA">
              <w:rPr>
                <w:sz w:val="24"/>
                <w:szCs w:val="24"/>
              </w:rPr>
              <w:t xml:space="preserve">time spent on </w:t>
            </w:r>
            <w:r w:rsidR="00AD0A7D" w:rsidRPr="00C524FA">
              <w:rPr>
                <w:sz w:val="24"/>
                <w:szCs w:val="24"/>
              </w:rPr>
              <w:t xml:space="preserve">the </w:t>
            </w:r>
            <w:r w:rsidR="00282250" w:rsidRPr="00C524FA">
              <w:rPr>
                <w:sz w:val="24"/>
                <w:szCs w:val="24"/>
              </w:rPr>
              <w:t>core activities</w:t>
            </w:r>
            <w:r w:rsidR="00AD0A7D" w:rsidRPr="00C524FA">
              <w:rPr>
                <w:sz w:val="24"/>
                <w:szCs w:val="24"/>
              </w:rPr>
              <w:t xml:space="preserve"> of teaching and research</w:t>
            </w:r>
            <w:r w:rsidR="00944482" w:rsidRPr="00C524FA">
              <w:rPr>
                <w:sz w:val="24"/>
                <w:szCs w:val="24"/>
              </w:rPr>
              <w:t>,</w:t>
            </w:r>
            <w:r w:rsidR="006739D8" w:rsidRPr="00C524FA">
              <w:rPr>
                <w:sz w:val="24"/>
                <w:szCs w:val="24"/>
              </w:rPr>
              <w:t xml:space="preserve"> </w:t>
            </w:r>
            <w:r w:rsidR="00944482" w:rsidRPr="00C524FA">
              <w:rPr>
                <w:sz w:val="24"/>
                <w:szCs w:val="24"/>
              </w:rPr>
              <w:t>together with</w:t>
            </w:r>
            <w:r w:rsidR="006739D8" w:rsidRPr="00C524FA">
              <w:rPr>
                <w:sz w:val="24"/>
                <w:szCs w:val="24"/>
              </w:rPr>
              <w:t xml:space="preserve"> </w:t>
            </w:r>
            <w:r w:rsidR="00AD0A7D" w:rsidRPr="00C524F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 significant reduction in </w:t>
            </w:r>
            <w:r w:rsidR="006739D8" w:rsidRPr="00C524F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management and </w:t>
            </w:r>
            <w:r w:rsidR="00AD0A7D" w:rsidRPr="00C524F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administrative</w:t>
            </w:r>
            <w:r w:rsidR="006739D8" w:rsidRPr="00C524F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sub</w:t>
            </w:r>
            <w:r w:rsidR="00AD0A7D" w:rsidRPr="00C524F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-categories</w:t>
            </w:r>
            <w:r w:rsidR="006739D8" w:rsidRPr="00C524F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 The model aimed to provide gr</w:t>
            </w:r>
            <w:r w:rsidR="00AD0A7D" w:rsidRPr="00C524F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eater flexibility for </w:t>
            </w:r>
            <w:proofErr w:type="gramStart"/>
            <w:r w:rsidR="00AD0A7D" w:rsidRPr="00C524F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Colleges</w:t>
            </w:r>
            <w:proofErr w:type="gramEnd"/>
            <w:r w:rsidR="00AD0A7D" w:rsidRPr="00C524F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to meet their </w:t>
            </w:r>
            <w:r w:rsidR="00944482" w:rsidRPr="00C524F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annual planning and departmental </w:t>
            </w:r>
            <w:r w:rsidR="00AD0A7D" w:rsidRPr="00C524F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priorities</w:t>
            </w:r>
            <w:r w:rsidR="00944482" w:rsidRPr="00C524F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  <w:r w:rsidR="006739D8" w:rsidRPr="00C524F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It was noted that the proposals would be discussed with UCU </w:t>
            </w:r>
            <w:r w:rsidR="00944482" w:rsidRPr="00C524F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the following</w:t>
            </w:r>
            <w:r w:rsidR="006739D8" w:rsidRPr="00C524F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week with an intention to implement the new model from February 2024.</w:t>
            </w:r>
          </w:p>
        </w:tc>
      </w:tr>
      <w:tr w:rsidR="008104FF" w:rsidRPr="00EE70CB" w14:paraId="657113D0" w14:textId="77777777" w:rsidTr="00C650F7">
        <w:tc>
          <w:tcPr>
            <w:tcW w:w="1560" w:type="dxa"/>
            <w:tcBorders>
              <w:top w:val="nil"/>
              <w:bottom w:val="nil"/>
            </w:tcBorders>
          </w:tcPr>
          <w:p w14:paraId="193FEEDE" w14:textId="2543D6BC" w:rsidR="008104FF" w:rsidRDefault="00D400BA" w:rsidP="00C650F7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44BB6DD3" w14:textId="508EA1F7" w:rsidR="00984E0D" w:rsidRPr="008104FF" w:rsidRDefault="008104FF" w:rsidP="00E34BC9">
            <w:pPr>
              <w:spacing w:before="60" w:after="60"/>
              <w:rPr>
                <w:sz w:val="24"/>
                <w:szCs w:val="24"/>
              </w:rPr>
            </w:pPr>
            <w:r w:rsidRPr="00844371">
              <w:rPr>
                <w:b/>
                <w:bCs/>
                <w:sz w:val="24"/>
                <w:szCs w:val="24"/>
              </w:rPr>
              <w:t>U</w:t>
            </w:r>
            <w:r w:rsidR="00235A79">
              <w:rPr>
                <w:b/>
                <w:bCs/>
                <w:sz w:val="24"/>
                <w:szCs w:val="24"/>
              </w:rPr>
              <w:t>niversities’ Superannuation Scheme (U</w:t>
            </w:r>
            <w:r w:rsidRPr="00844371">
              <w:rPr>
                <w:b/>
                <w:bCs/>
                <w:sz w:val="24"/>
                <w:szCs w:val="24"/>
              </w:rPr>
              <w:t>SS</w:t>
            </w:r>
            <w:r w:rsidR="00235A79">
              <w:rPr>
                <w:b/>
                <w:bCs/>
                <w:sz w:val="24"/>
                <w:szCs w:val="24"/>
              </w:rPr>
              <w:t xml:space="preserve">) </w:t>
            </w:r>
            <w:r w:rsidRPr="00844371">
              <w:rPr>
                <w:b/>
                <w:bCs/>
                <w:sz w:val="24"/>
                <w:szCs w:val="24"/>
              </w:rPr>
              <w:t>Salary Sacrifice</w:t>
            </w:r>
            <w:r w:rsidR="00844371" w:rsidRPr="00844371">
              <w:rPr>
                <w:b/>
                <w:bCs/>
                <w:sz w:val="24"/>
                <w:szCs w:val="24"/>
              </w:rPr>
              <w:t>:</w:t>
            </w:r>
            <w:r w:rsidR="00235A79">
              <w:rPr>
                <w:sz w:val="24"/>
                <w:szCs w:val="24"/>
              </w:rPr>
              <w:t xml:space="preserve"> FEC </w:t>
            </w:r>
            <w:r w:rsidR="00093D5B">
              <w:rPr>
                <w:sz w:val="24"/>
                <w:szCs w:val="24"/>
              </w:rPr>
              <w:t>was briefed on</w:t>
            </w:r>
            <w:r w:rsidR="00984E0D" w:rsidRPr="00D50FBE">
              <w:rPr>
                <w:sz w:val="24"/>
                <w:szCs w:val="24"/>
              </w:rPr>
              <w:t xml:space="preserve"> </w:t>
            </w:r>
            <w:r w:rsidR="00093D5B">
              <w:rPr>
                <w:sz w:val="24"/>
                <w:szCs w:val="24"/>
              </w:rPr>
              <w:t>UEB’s decision to implement salary sacrifice arrangements in relation to the USS including t</w:t>
            </w:r>
            <w:r w:rsidR="00235A79">
              <w:rPr>
                <w:sz w:val="24"/>
                <w:szCs w:val="24"/>
              </w:rPr>
              <w:t>he</w:t>
            </w:r>
            <w:r w:rsidR="00984E0D" w:rsidRPr="00D50FBE">
              <w:rPr>
                <w:sz w:val="24"/>
                <w:szCs w:val="24"/>
              </w:rPr>
              <w:t xml:space="preserve"> </w:t>
            </w:r>
            <w:r w:rsidR="00235A79">
              <w:rPr>
                <w:sz w:val="24"/>
                <w:szCs w:val="24"/>
              </w:rPr>
              <w:t>benefits</w:t>
            </w:r>
            <w:r w:rsidR="00984E0D" w:rsidRPr="00D50FBE">
              <w:rPr>
                <w:sz w:val="24"/>
                <w:szCs w:val="24"/>
              </w:rPr>
              <w:t xml:space="preserve"> for both the employee and the University</w:t>
            </w:r>
            <w:r w:rsidR="00235A79">
              <w:rPr>
                <w:sz w:val="24"/>
                <w:szCs w:val="24"/>
              </w:rPr>
              <w:t xml:space="preserve"> </w:t>
            </w:r>
            <w:r w:rsidR="00093D5B">
              <w:rPr>
                <w:sz w:val="24"/>
                <w:szCs w:val="24"/>
              </w:rPr>
              <w:t xml:space="preserve">and that this was established practice in the HE </w:t>
            </w:r>
            <w:proofErr w:type="gramStart"/>
            <w:r w:rsidR="00093D5B">
              <w:rPr>
                <w:sz w:val="24"/>
                <w:szCs w:val="24"/>
              </w:rPr>
              <w:t>sector</w:t>
            </w:r>
            <w:proofErr w:type="gramEnd"/>
            <w:r w:rsidR="00093D5B">
              <w:rPr>
                <w:sz w:val="24"/>
                <w:szCs w:val="24"/>
              </w:rPr>
              <w:t xml:space="preserve">. </w:t>
            </w:r>
          </w:p>
        </w:tc>
      </w:tr>
      <w:tr w:rsidR="005A45D3" w:rsidRPr="008A753B" w14:paraId="088EF994" w14:textId="77777777" w:rsidTr="00C650F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9B4D4F" w14:textId="262BA541" w:rsidR="005A45D3" w:rsidRPr="00A85DEC" w:rsidRDefault="005A45D3" w:rsidP="00C650F7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bookmarkStart w:id="3" w:name="_Hlk114508928"/>
            <w:bookmarkStart w:id="4" w:name="_Hlk119580530"/>
            <w:bookmarkStart w:id="5" w:name="_Hlk128499660"/>
            <w:bookmarkStart w:id="6" w:name="_Hlk120019320"/>
            <w:r>
              <w:t>FEC_2023_11_16_</w:t>
            </w:r>
            <w:r w:rsidR="00D400BA">
              <w:t>5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F1B395" w14:textId="77777777" w:rsidR="005A45D3" w:rsidRPr="00A85DEC" w:rsidRDefault="005A45D3" w:rsidP="00C650F7">
            <w:pPr>
              <w:pStyle w:val="Heading2"/>
              <w:rPr>
                <w:sz w:val="20"/>
                <w:szCs w:val="20"/>
              </w:rPr>
            </w:pPr>
            <w:r w:rsidRPr="009B7AD5">
              <w:rPr>
                <w:bCs/>
                <w:szCs w:val="24"/>
              </w:rPr>
              <w:t>HEALTH</w:t>
            </w:r>
            <w:r>
              <w:rPr>
                <w:bCs/>
                <w:szCs w:val="24"/>
              </w:rPr>
              <w:t xml:space="preserve">, </w:t>
            </w:r>
            <w:r w:rsidRPr="009B7AD5">
              <w:rPr>
                <w:bCs/>
                <w:szCs w:val="24"/>
              </w:rPr>
              <w:t xml:space="preserve">SAFETY </w:t>
            </w:r>
            <w:r>
              <w:rPr>
                <w:bCs/>
                <w:szCs w:val="24"/>
              </w:rPr>
              <w:t xml:space="preserve">AND WELLBEING </w:t>
            </w:r>
            <w:r w:rsidRPr="009B7AD5">
              <w:rPr>
                <w:bCs/>
                <w:szCs w:val="24"/>
              </w:rPr>
              <w:t>ANNUAL REPORT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831379" w14:textId="77777777" w:rsidR="005A45D3" w:rsidRPr="009E30DD" w:rsidRDefault="005A45D3" w:rsidP="00C650F7">
            <w:pPr>
              <w:spacing w:before="60" w:after="60"/>
              <w:ind w:right="-109"/>
              <w:jc w:val="right"/>
              <w:rPr>
                <w:sz w:val="18"/>
                <w:szCs w:val="18"/>
              </w:rPr>
            </w:pPr>
            <w:r w:rsidRPr="009E30DD">
              <w:rPr>
                <w:sz w:val="18"/>
                <w:szCs w:val="18"/>
              </w:rPr>
              <w:t>FEC</w:t>
            </w:r>
            <w:r>
              <w:rPr>
                <w:sz w:val="18"/>
                <w:szCs w:val="18"/>
              </w:rPr>
              <w:t>_2023_11_16_</w:t>
            </w:r>
            <w:r w:rsidRPr="009E30DD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6</w:t>
            </w:r>
          </w:p>
        </w:tc>
      </w:tr>
      <w:bookmarkEnd w:id="3"/>
      <w:bookmarkEnd w:id="4"/>
      <w:bookmarkEnd w:id="5"/>
      <w:bookmarkEnd w:id="6"/>
      <w:tr w:rsidR="005A45D3" w:rsidRPr="008A753B" w14:paraId="0AEA474E" w14:textId="77777777" w:rsidTr="00C650F7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70095677" w14:textId="13DC14FA" w:rsidR="005A45D3" w:rsidRPr="008A753B" w:rsidRDefault="00D400BA" w:rsidP="00C650F7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A45D3"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nil"/>
            </w:tcBorders>
          </w:tcPr>
          <w:p w14:paraId="0C617EF1" w14:textId="75F1BED2" w:rsidR="00282250" w:rsidRDefault="00235A79" w:rsidP="00C650F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University Secretary </w:t>
            </w:r>
            <w:r w:rsidR="00944482">
              <w:rPr>
                <w:sz w:val="24"/>
                <w:szCs w:val="24"/>
              </w:rPr>
              <w:t>introduced</w:t>
            </w:r>
            <w:r>
              <w:rPr>
                <w:sz w:val="24"/>
                <w:szCs w:val="24"/>
              </w:rPr>
              <w:t xml:space="preserve"> the Health, Safety and Wellbeing (HSW) Annual Report</w:t>
            </w:r>
            <w:r w:rsidR="00944482">
              <w:rPr>
                <w:sz w:val="24"/>
                <w:szCs w:val="24"/>
              </w:rPr>
              <w:t xml:space="preserve">, noting </w:t>
            </w:r>
            <w:r w:rsidR="00325465">
              <w:rPr>
                <w:sz w:val="24"/>
                <w:szCs w:val="24"/>
              </w:rPr>
              <w:t>the significant work undertaken since</w:t>
            </w:r>
            <w:r>
              <w:rPr>
                <w:sz w:val="24"/>
                <w:szCs w:val="24"/>
              </w:rPr>
              <w:t xml:space="preserve"> the Head of Health and Safety</w:t>
            </w:r>
            <w:r w:rsidR="00325465">
              <w:rPr>
                <w:sz w:val="24"/>
                <w:szCs w:val="24"/>
              </w:rPr>
              <w:t xml:space="preserve"> joined the University </w:t>
            </w:r>
            <w:r>
              <w:rPr>
                <w:sz w:val="24"/>
                <w:szCs w:val="24"/>
              </w:rPr>
              <w:t xml:space="preserve">12 months </w:t>
            </w:r>
            <w:r w:rsidR="00325465">
              <w:rPr>
                <w:sz w:val="24"/>
                <w:szCs w:val="24"/>
              </w:rPr>
              <w:t>ago</w:t>
            </w:r>
            <w:r w:rsidR="00475E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944482">
              <w:rPr>
                <w:sz w:val="24"/>
                <w:szCs w:val="24"/>
              </w:rPr>
              <w:t>including</w:t>
            </w:r>
            <w:r>
              <w:rPr>
                <w:sz w:val="24"/>
                <w:szCs w:val="24"/>
              </w:rPr>
              <w:t xml:space="preserve"> an </w:t>
            </w:r>
            <w:r w:rsidR="00282250">
              <w:rPr>
                <w:sz w:val="24"/>
                <w:szCs w:val="24"/>
              </w:rPr>
              <w:t xml:space="preserve">assessment of baseline </w:t>
            </w:r>
            <w:r>
              <w:rPr>
                <w:sz w:val="24"/>
                <w:szCs w:val="24"/>
              </w:rPr>
              <w:t xml:space="preserve">health and safety performance </w:t>
            </w:r>
            <w:r w:rsidR="00282250">
              <w:rPr>
                <w:sz w:val="24"/>
                <w:szCs w:val="24"/>
              </w:rPr>
              <w:t xml:space="preserve">across the </w:t>
            </w:r>
            <w:r w:rsidR="00944482">
              <w:rPr>
                <w:sz w:val="24"/>
                <w:szCs w:val="24"/>
              </w:rPr>
              <w:t>I</w:t>
            </w:r>
            <w:r w:rsidR="00282250">
              <w:rPr>
                <w:sz w:val="24"/>
                <w:szCs w:val="24"/>
              </w:rPr>
              <w:t xml:space="preserve">nstitution. </w:t>
            </w:r>
          </w:p>
          <w:p w14:paraId="36F9AB9D" w14:textId="01221E32" w:rsidR="005A45D3" w:rsidRDefault="00235A79" w:rsidP="00C650F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Head of Health and Safety reported that</w:t>
            </w:r>
            <w:r w:rsidR="00325465">
              <w:rPr>
                <w:sz w:val="24"/>
                <w:szCs w:val="24"/>
              </w:rPr>
              <w:t xml:space="preserve"> the</w:t>
            </w:r>
            <w:r w:rsidR="00282250">
              <w:rPr>
                <w:sz w:val="24"/>
                <w:szCs w:val="24"/>
              </w:rPr>
              <w:t xml:space="preserve"> document</w:t>
            </w:r>
            <w:r>
              <w:rPr>
                <w:sz w:val="24"/>
                <w:szCs w:val="24"/>
              </w:rPr>
              <w:t>ation</w:t>
            </w:r>
            <w:r w:rsidR="00282250">
              <w:rPr>
                <w:sz w:val="24"/>
                <w:szCs w:val="24"/>
              </w:rPr>
              <w:t xml:space="preserve"> establish</w:t>
            </w:r>
            <w:r>
              <w:rPr>
                <w:sz w:val="24"/>
                <w:szCs w:val="24"/>
              </w:rPr>
              <w:t>ed</w:t>
            </w:r>
            <w:r w:rsidR="00282250">
              <w:rPr>
                <w:sz w:val="24"/>
                <w:szCs w:val="24"/>
              </w:rPr>
              <w:t xml:space="preserve"> an enhanced framework for HSW performance</w:t>
            </w:r>
            <w:r>
              <w:rPr>
                <w:sz w:val="24"/>
                <w:szCs w:val="24"/>
              </w:rPr>
              <w:t>, key e</w:t>
            </w:r>
            <w:r w:rsidR="00282250">
              <w:rPr>
                <w:sz w:val="24"/>
                <w:szCs w:val="24"/>
              </w:rPr>
              <w:t>lements</w:t>
            </w:r>
            <w:r>
              <w:rPr>
                <w:sz w:val="24"/>
                <w:szCs w:val="24"/>
              </w:rPr>
              <w:t xml:space="preserve"> of which included: </w:t>
            </w:r>
          </w:p>
          <w:p w14:paraId="5625BCD2" w14:textId="14ED1BC4" w:rsidR="00282250" w:rsidRDefault="00235A79" w:rsidP="00282250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282250" w:rsidRPr="00282250">
              <w:rPr>
                <w:sz w:val="24"/>
                <w:szCs w:val="24"/>
              </w:rPr>
              <w:t xml:space="preserve">Integrated </w:t>
            </w:r>
            <w:r>
              <w:rPr>
                <w:sz w:val="24"/>
                <w:szCs w:val="24"/>
              </w:rPr>
              <w:t xml:space="preserve">five-year </w:t>
            </w:r>
            <w:r w:rsidR="006739D8" w:rsidRPr="00282250">
              <w:rPr>
                <w:sz w:val="24"/>
                <w:szCs w:val="24"/>
              </w:rPr>
              <w:t>Occ</w:t>
            </w:r>
            <w:r w:rsidR="006739D8">
              <w:rPr>
                <w:sz w:val="24"/>
                <w:szCs w:val="24"/>
              </w:rPr>
              <w:t>upational</w:t>
            </w:r>
            <w:r w:rsidR="00282250" w:rsidRPr="00282250">
              <w:rPr>
                <w:sz w:val="24"/>
                <w:szCs w:val="24"/>
              </w:rPr>
              <w:t xml:space="preserve"> HSW Plan </w:t>
            </w:r>
            <w:r>
              <w:rPr>
                <w:sz w:val="24"/>
                <w:szCs w:val="24"/>
              </w:rPr>
              <w:t xml:space="preserve">which had been </w:t>
            </w:r>
            <w:r w:rsidR="006739D8">
              <w:rPr>
                <w:sz w:val="24"/>
                <w:szCs w:val="24"/>
              </w:rPr>
              <w:t>approved by UEB. The plan was</w:t>
            </w:r>
            <w:r w:rsidR="00282250" w:rsidRPr="00282250">
              <w:rPr>
                <w:sz w:val="24"/>
                <w:szCs w:val="24"/>
              </w:rPr>
              <w:t xml:space="preserve"> broken down into </w:t>
            </w:r>
            <w:r w:rsidR="006739D8">
              <w:rPr>
                <w:sz w:val="24"/>
                <w:szCs w:val="24"/>
              </w:rPr>
              <w:t>three</w:t>
            </w:r>
            <w:r w:rsidR="00282250" w:rsidRPr="00282250">
              <w:rPr>
                <w:sz w:val="24"/>
                <w:szCs w:val="24"/>
              </w:rPr>
              <w:t xml:space="preserve"> key areas </w:t>
            </w:r>
            <w:r w:rsidR="006739D8">
              <w:rPr>
                <w:sz w:val="24"/>
                <w:szCs w:val="24"/>
              </w:rPr>
              <w:t>containing two workstream</w:t>
            </w:r>
            <w:r w:rsidR="00325465">
              <w:rPr>
                <w:sz w:val="24"/>
                <w:szCs w:val="24"/>
              </w:rPr>
              <w:t>s</w:t>
            </w:r>
            <w:r w:rsidR="006739D8">
              <w:rPr>
                <w:sz w:val="24"/>
                <w:szCs w:val="24"/>
              </w:rPr>
              <w:t>. Each of the six areas had both five-</w:t>
            </w:r>
            <w:r w:rsidR="00282250" w:rsidRPr="00282250">
              <w:rPr>
                <w:sz w:val="24"/>
                <w:szCs w:val="24"/>
              </w:rPr>
              <w:t>year aims and annual objectives</w:t>
            </w:r>
            <w:r w:rsidR="006739D8">
              <w:rPr>
                <w:sz w:val="24"/>
                <w:szCs w:val="24"/>
              </w:rPr>
              <w:t>; and</w:t>
            </w:r>
          </w:p>
          <w:p w14:paraId="3146F9CF" w14:textId="3DAAD9B7" w:rsidR="00197581" w:rsidRPr="004D1E64" w:rsidRDefault="008B69EC" w:rsidP="008B69EC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two </w:t>
            </w:r>
            <w:r w:rsidR="006739D8">
              <w:rPr>
                <w:sz w:val="24"/>
                <w:szCs w:val="24"/>
              </w:rPr>
              <w:t>k</w:t>
            </w:r>
            <w:r w:rsidR="00282250" w:rsidRPr="00714518">
              <w:rPr>
                <w:sz w:val="24"/>
                <w:szCs w:val="24"/>
              </w:rPr>
              <w:t xml:space="preserve">ey enablers– </w:t>
            </w:r>
            <w:r w:rsidR="006739D8">
              <w:rPr>
                <w:sz w:val="24"/>
                <w:szCs w:val="24"/>
              </w:rPr>
              <w:t>the revised Terms of Reference for the H</w:t>
            </w:r>
            <w:r w:rsidR="00E14750">
              <w:rPr>
                <w:sz w:val="24"/>
                <w:szCs w:val="24"/>
              </w:rPr>
              <w:t xml:space="preserve">ealth, Safety and Wellbeing </w:t>
            </w:r>
            <w:r w:rsidR="006739D8">
              <w:rPr>
                <w:sz w:val="24"/>
                <w:szCs w:val="24"/>
              </w:rPr>
              <w:t>Committee</w:t>
            </w:r>
            <w:r w:rsidR="00E14750">
              <w:rPr>
                <w:sz w:val="24"/>
                <w:szCs w:val="24"/>
              </w:rPr>
              <w:t xml:space="preserve"> (HSWC)</w:t>
            </w:r>
            <w:r w:rsidR="006739D8">
              <w:rPr>
                <w:sz w:val="24"/>
                <w:szCs w:val="24"/>
              </w:rPr>
              <w:t xml:space="preserve"> and the updated Health and Safety Policy</w:t>
            </w:r>
            <w:r>
              <w:rPr>
                <w:sz w:val="24"/>
                <w:szCs w:val="24"/>
              </w:rPr>
              <w:t>.</w:t>
            </w:r>
          </w:p>
        </w:tc>
      </w:tr>
      <w:tr w:rsidR="005A45D3" w:rsidRPr="008A753B" w14:paraId="29F96D54" w14:textId="77777777" w:rsidTr="00C650F7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8BE2B4A" w14:textId="6FCF0C3E" w:rsidR="005A45D3" w:rsidRDefault="00D400BA" w:rsidP="00C650F7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A45D3">
              <w:rPr>
                <w:sz w:val="24"/>
                <w:szCs w:val="24"/>
              </w:rPr>
              <w:t>.2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6F8398EF" w14:textId="3BA9D61B" w:rsidR="005A45D3" w:rsidRPr="0023460D" w:rsidRDefault="006739D8" w:rsidP="00C650F7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 w:rsidRPr="0023460D">
              <w:rPr>
                <w:sz w:val="24"/>
                <w:szCs w:val="24"/>
              </w:rPr>
              <w:t>Members commented on the</w:t>
            </w:r>
            <w:r w:rsidR="00714518" w:rsidRPr="0023460D">
              <w:rPr>
                <w:sz w:val="24"/>
                <w:szCs w:val="24"/>
              </w:rPr>
              <w:t xml:space="preserve"> well</w:t>
            </w:r>
            <w:r w:rsidRPr="0023460D">
              <w:rPr>
                <w:sz w:val="24"/>
                <w:szCs w:val="24"/>
              </w:rPr>
              <w:t>-</w:t>
            </w:r>
            <w:r w:rsidR="00714518" w:rsidRPr="0023460D">
              <w:rPr>
                <w:sz w:val="24"/>
                <w:szCs w:val="24"/>
              </w:rPr>
              <w:t xml:space="preserve">prepared documentation </w:t>
            </w:r>
            <w:r w:rsidR="008B69EC" w:rsidRPr="0023460D">
              <w:rPr>
                <w:sz w:val="24"/>
                <w:szCs w:val="24"/>
              </w:rPr>
              <w:t>and intention to deliver improvements through</w:t>
            </w:r>
            <w:r w:rsidRPr="0023460D">
              <w:rPr>
                <w:sz w:val="24"/>
                <w:szCs w:val="24"/>
              </w:rPr>
              <w:t xml:space="preserve"> a clear </w:t>
            </w:r>
            <w:r w:rsidR="008B69EC" w:rsidRPr="0023460D">
              <w:rPr>
                <w:sz w:val="24"/>
                <w:szCs w:val="24"/>
              </w:rPr>
              <w:t xml:space="preserve">and measurable </w:t>
            </w:r>
            <w:r w:rsidR="00714518" w:rsidRPr="0023460D">
              <w:rPr>
                <w:sz w:val="24"/>
                <w:szCs w:val="24"/>
              </w:rPr>
              <w:t xml:space="preserve">framework. </w:t>
            </w:r>
          </w:p>
          <w:p w14:paraId="73E7DDFD" w14:textId="1FA56386" w:rsidR="00E14750" w:rsidRPr="0023460D" w:rsidRDefault="00E14750" w:rsidP="00C650F7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 w:rsidRPr="0023460D">
              <w:rPr>
                <w:sz w:val="24"/>
                <w:szCs w:val="24"/>
              </w:rPr>
              <w:t>Members raised the following queries/comments:</w:t>
            </w:r>
          </w:p>
          <w:p w14:paraId="28D5D711" w14:textId="2EE22B97" w:rsidR="00E14750" w:rsidRPr="0023460D" w:rsidRDefault="00E14750" w:rsidP="002A58D2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 w:rsidRPr="0023460D">
              <w:rPr>
                <w:sz w:val="24"/>
                <w:szCs w:val="24"/>
              </w:rPr>
              <w:t xml:space="preserve">Completion levels for mandatory training – the Health and Safety Team </w:t>
            </w:r>
            <w:r w:rsidR="0023460D">
              <w:rPr>
                <w:sz w:val="24"/>
                <w:szCs w:val="24"/>
              </w:rPr>
              <w:t>was</w:t>
            </w:r>
            <w:r w:rsidRPr="0023460D">
              <w:rPr>
                <w:sz w:val="24"/>
                <w:szCs w:val="24"/>
              </w:rPr>
              <w:t xml:space="preserve"> working with Directorates</w:t>
            </w:r>
            <w:r w:rsidR="0023460D">
              <w:rPr>
                <w:sz w:val="24"/>
                <w:szCs w:val="24"/>
              </w:rPr>
              <w:t xml:space="preserve"> and </w:t>
            </w:r>
            <w:r w:rsidRPr="0023460D">
              <w:rPr>
                <w:sz w:val="24"/>
                <w:szCs w:val="24"/>
              </w:rPr>
              <w:t>Colleges on what constituted mandatory training</w:t>
            </w:r>
            <w:r w:rsidR="0023460D">
              <w:rPr>
                <w:sz w:val="24"/>
                <w:szCs w:val="24"/>
              </w:rPr>
              <w:t xml:space="preserve"> </w:t>
            </w:r>
            <w:r w:rsidRPr="0023460D">
              <w:rPr>
                <w:sz w:val="24"/>
                <w:szCs w:val="24"/>
              </w:rPr>
              <w:t xml:space="preserve">and how to encourage engagement. It was noted that completion of mandatory training was discussed as part of the PDR process. </w:t>
            </w:r>
          </w:p>
          <w:p w14:paraId="215110D1" w14:textId="0515C8DB" w:rsidR="00714518" w:rsidRPr="0023460D" w:rsidRDefault="00E14750" w:rsidP="002A58D2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 w:rsidRPr="0023460D">
              <w:rPr>
                <w:sz w:val="24"/>
                <w:szCs w:val="24"/>
              </w:rPr>
              <w:t>Resourcing to del</w:t>
            </w:r>
            <w:r w:rsidR="00714518" w:rsidRPr="0023460D">
              <w:rPr>
                <w:sz w:val="24"/>
                <w:szCs w:val="24"/>
              </w:rPr>
              <w:t xml:space="preserve">iver the plan </w:t>
            </w:r>
            <w:r w:rsidRPr="0023460D">
              <w:rPr>
                <w:sz w:val="24"/>
                <w:szCs w:val="24"/>
              </w:rPr>
              <w:t>– it was noted that a mix of dedicated roles and more</w:t>
            </w:r>
            <w:r w:rsidR="00714518" w:rsidRPr="0023460D">
              <w:rPr>
                <w:sz w:val="24"/>
                <w:szCs w:val="24"/>
              </w:rPr>
              <w:t xml:space="preserve"> </w:t>
            </w:r>
            <w:r w:rsidRPr="0023460D">
              <w:rPr>
                <w:sz w:val="24"/>
                <w:szCs w:val="24"/>
              </w:rPr>
              <w:t>effective use of existing resource was</w:t>
            </w:r>
            <w:r w:rsidR="00714518" w:rsidRPr="0023460D">
              <w:rPr>
                <w:sz w:val="24"/>
                <w:szCs w:val="24"/>
              </w:rPr>
              <w:t xml:space="preserve"> envisaged</w:t>
            </w:r>
            <w:r w:rsidR="00475E05">
              <w:rPr>
                <w:sz w:val="24"/>
                <w:szCs w:val="24"/>
              </w:rPr>
              <w:t>, including a review of the</w:t>
            </w:r>
            <w:r w:rsidRPr="0023460D">
              <w:rPr>
                <w:sz w:val="24"/>
                <w:szCs w:val="24"/>
              </w:rPr>
              <w:t xml:space="preserve"> Health and Safety</w:t>
            </w:r>
            <w:r w:rsidR="00714518" w:rsidRPr="0023460D">
              <w:rPr>
                <w:sz w:val="24"/>
                <w:szCs w:val="24"/>
              </w:rPr>
              <w:t xml:space="preserve"> Coordinators across the University. </w:t>
            </w:r>
            <w:r w:rsidRPr="0023460D">
              <w:rPr>
                <w:sz w:val="24"/>
                <w:szCs w:val="24"/>
              </w:rPr>
              <w:t>The University Operations Board (</w:t>
            </w:r>
            <w:r w:rsidR="00714518" w:rsidRPr="0023460D">
              <w:rPr>
                <w:sz w:val="24"/>
                <w:szCs w:val="24"/>
              </w:rPr>
              <w:t>UOB</w:t>
            </w:r>
            <w:r w:rsidRPr="0023460D">
              <w:rPr>
                <w:sz w:val="24"/>
                <w:szCs w:val="24"/>
              </w:rPr>
              <w:t xml:space="preserve">) would be </w:t>
            </w:r>
            <w:r w:rsidR="00714518" w:rsidRPr="0023460D">
              <w:rPr>
                <w:sz w:val="24"/>
                <w:szCs w:val="24"/>
              </w:rPr>
              <w:t xml:space="preserve">taking on some </w:t>
            </w:r>
            <w:r w:rsidRPr="0023460D">
              <w:rPr>
                <w:sz w:val="24"/>
                <w:szCs w:val="24"/>
              </w:rPr>
              <w:t xml:space="preserve">elements </w:t>
            </w:r>
            <w:r w:rsidR="00714518" w:rsidRPr="0023460D">
              <w:rPr>
                <w:sz w:val="24"/>
                <w:szCs w:val="24"/>
              </w:rPr>
              <w:t xml:space="preserve">of the decision-making outside of </w:t>
            </w:r>
            <w:r w:rsidRPr="0023460D">
              <w:rPr>
                <w:sz w:val="24"/>
                <w:szCs w:val="24"/>
              </w:rPr>
              <w:t xml:space="preserve">the </w:t>
            </w:r>
            <w:r w:rsidR="00714518" w:rsidRPr="0023460D">
              <w:rPr>
                <w:sz w:val="24"/>
                <w:szCs w:val="24"/>
              </w:rPr>
              <w:t xml:space="preserve">HSWC including operational delivery aspects. </w:t>
            </w:r>
          </w:p>
          <w:p w14:paraId="47E719A7" w14:textId="4A44E50C" w:rsidR="0023460D" w:rsidRDefault="002A58D2" w:rsidP="0023460D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 w:rsidRPr="0023460D">
              <w:rPr>
                <w:sz w:val="24"/>
                <w:szCs w:val="24"/>
              </w:rPr>
              <w:t>How occupational</w:t>
            </w:r>
            <w:r w:rsidR="00714518" w:rsidRPr="0023460D">
              <w:rPr>
                <w:sz w:val="24"/>
                <w:szCs w:val="24"/>
              </w:rPr>
              <w:t xml:space="preserve"> </w:t>
            </w:r>
            <w:r w:rsidRPr="0023460D">
              <w:rPr>
                <w:sz w:val="24"/>
                <w:szCs w:val="24"/>
              </w:rPr>
              <w:t xml:space="preserve">HSW </w:t>
            </w:r>
            <w:r w:rsidR="0023460D">
              <w:rPr>
                <w:sz w:val="24"/>
                <w:szCs w:val="24"/>
              </w:rPr>
              <w:t xml:space="preserve">had </w:t>
            </w:r>
            <w:r w:rsidRPr="0023460D">
              <w:rPr>
                <w:sz w:val="24"/>
                <w:szCs w:val="24"/>
              </w:rPr>
              <w:t xml:space="preserve">adapted </w:t>
            </w:r>
            <w:r w:rsidR="00714518" w:rsidRPr="0023460D">
              <w:rPr>
                <w:sz w:val="24"/>
                <w:szCs w:val="24"/>
              </w:rPr>
              <w:t>to changes in working practices</w:t>
            </w:r>
            <w:r w:rsidRPr="0023460D">
              <w:rPr>
                <w:sz w:val="24"/>
                <w:szCs w:val="24"/>
              </w:rPr>
              <w:t xml:space="preserve"> – </w:t>
            </w:r>
            <w:r w:rsidR="000037D6">
              <w:rPr>
                <w:sz w:val="24"/>
                <w:szCs w:val="24"/>
              </w:rPr>
              <w:t xml:space="preserve">noted that </w:t>
            </w:r>
            <w:r w:rsidR="0023460D">
              <w:rPr>
                <w:sz w:val="24"/>
                <w:szCs w:val="24"/>
              </w:rPr>
              <w:t>awareness raising</w:t>
            </w:r>
            <w:r w:rsidR="000037D6">
              <w:rPr>
                <w:sz w:val="24"/>
                <w:szCs w:val="24"/>
              </w:rPr>
              <w:t xml:space="preserve"> amongst staff</w:t>
            </w:r>
            <w:r w:rsidR="0023460D">
              <w:rPr>
                <w:sz w:val="24"/>
                <w:szCs w:val="24"/>
              </w:rPr>
              <w:t xml:space="preserve"> was key </w:t>
            </w:r>
            <w:r w:rsidR="000037D6">
              <w:rPr>
                <w:sz w:val="24"/>
                <w:szCs w:val="24"/>
              </w:rPr>
              <w:t xml:space="preserve">and that IT guidance had been enhanced to include working from home, together with the provision of </w:t>
            </w:r>
            <w:r w:rsidR="0023460D">
              <w:rPr>
                <w:sz w:val="24"/>
                <w:szCs w:val="24"/>
              </w:rPr>
              <w:t>e</w:t>
            </w:r>
            <w:r w:rsidR="00714518" w:rsidRPr="0023460D">
              <w:rPr>
                <w:sz w:val="24"/>
                <w:szCs w:val="24"/>
              </w:rPr>
              <w:t xml:space="preserve">quipment </w:t>
            </w:r>
            <w:r w:rsidR="000037D6">
              <w:rPr>
                <w:sz w:val="24"/>
                <w:szCs w:val="24"/>
              </w:rPr>
              <w:t>and the availability of</w:t>
            </w:r>
            <w:r w:rsidR="0023460D">
              <w:rPr>
                <w:sz w:val="24"/>
                <w:szCs w:val="24"/>
              </w:rPr>
              <w:t xml:space="preserve"> </w:t>
            </w:r>
            <w:r w:rsidR="000037D6">
              <w:rPr>
                <w:sz w:val="24"/>
                <w:szCs w:val="24"/>
              </w:rPr>
              <w:t>virtual</w:t>
            </w:r>
            <w:r w:rsidR="00714518" w:rsidRPr="0023460D">
              <w:rPr>
                <w:sz w:val="24"/>
                <w:szCs w:val="24"/>
              </w:rPr>
              <w:t xml:space="preserve"> DSE assessments </w:t>
            </w:r>
            <w:r w:rsidR="000037D6">
              <w:rPr>
                <w:sz w:val="24"/>
                <w:szCs w:val="24"/>
              </w:rPr>
              <w:t xml:space="preserve">for the </w:t>
            </w:r>
            <w:r w:rsidR="00714518" w:rsidRPr="0023460D">
              <w:rPr>
                <w:sz w:val="24"/>
                <w:szCs w:val="24"/>
              </w:rPr>
              <w:t xml:space="preserve">home environment. </w:t>
            </w:r>
          </w:p>
          <w:p w14:paraId="128F9951" w14:textId="59B2C41C" w:rsidR="00714518" w:rsidRPr="0023460D" w:rsidRDefault="0023460D" w:rsidP="0023460D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 w:rsidRPr="0023460D">
              <w:rPr>
                <w:sz w:val="24"/>
                <w:szCs w:val="24"/>
              </w:rPr>
              <w:t xml:space="preserve">The </w:t>
            </w:r>
            <w:r w:rsidR="00714518" w:rsidRPr="0023460D">
              <w:rPr>
                <w:sz w:val="24"/>
                <w:szCs w:val="24"/>
              </w:rPr>
              <w:t xml:space="preserve">degree of confidence </w:t>
            </w:r>
            <w:r w:rsidRPr="0023460D">
              <w:rPr>
                <w:sz w:val="24"/>
                <w:szCs w:val="24"/>
              </w:rPr>
              <w:t>in</w:t>
            </w:r>
            <w:r w:rsidR="00714518" w:rsidRPr="0023460D">
              <w:rPr>
                <w:sz w:val="24"/>
                <w:szCs w:val="24"/>
              </w:rPr>
              <w:t xml:space="preserve"> delivery</w:t>
            </w:r>
            <w:r>
              <w:rPr>
                <w:sz w:val="24"/>
                <w:szCs w:val="24"/>
              </w:rPr>
              <w:t xml:space="preserve"> – the key enable</w:t>
            </w:r>
            <w:r w:rsidR="000037D6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 outlined above were crucial to delivery</w:t>
            </w:r>
            <w:r w:rsidR="000037D6">
              <w:rPr>
                <w:sz w:val="24"/>
                <w:szCs w:val="24"/>
              </w:rPr>
              <w:t>. It was also important to acknowledge t</w:t>
            </w:r>
            <w:r>
              <w:rPr>
                <w:sz w:val="24"/>
                <w:szCs w:val="24"/>
              </w:rPr>
              <w:t>he risks</w:t>
            </w:r>
            <w:r w:rsidR="000037D6">
              <w:rPr>
                <w:sz w:val="24"/>
                <w:szCs w:val="24"/>
              </w:rPr>
              <w:t xml:space="preserve"> to delivery, including </w:t>
            </w:r>
            <w:r>
              <w:rPr>
                <w:sz w:val="24"/>
                <w:szCs w:val="24"/>
              </w:rPr>
              <w:t xml:space="preserve">the potential delay in moving to a </w:t>
            </w:r>
            <w:r w:rsidRPr="0023460D">
              <w:rPr>
                <w:sz w:val="24"/>
                <w:szCs w:val="24"/>
              </w:rPr>
              <w:t>single platform IT system</w:t>
            </w:r>
            <w:r w:rsidR="000037D6">
              <w:rPr>
                <w:sz w:val="24"/>
                <w:szCs w:val="24"/>
              </w:rPr>
              <w:t>.</w:t>
            </w:r>
          </w:p>
        </w:tc>
      </w:tr>
      <w:tr w:rsidR="00984E0D" w:rsidRPr="008A753B" w14:paraId="10C7A304" w14:textId="77777777" w:rsidTr="00A24A5C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8551E0" w14:textId="5620B390" w:rsidR="00984E0D" w:rsidRPr="00E94B92" w:rsidRDefault="00984E0D" w:rsidP="00A24A5C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lastRenderedPageBreak/>
              <w:t>FEC_2023_11_16_</w:t>
            </w:r>
            <w:r w:rsidR="00D400BA">
              <w:t>6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A2BA19" w14:textId="77777777" w:rsidR="00984E0D" w:rsidRPr="008A753B" w:rsidRDefault="00984E0D" w:rsidP="00A24A5C">
            <w:pPr>
              <w:pStyle w:val="Heading2"/>
            </w:pPr>
            <w:r w:rsidRPr="008A753B">
              <w:t>MINUTES OF THE PREVIOUS MEETING</w:t>
            </w:r>
            <w:r>
              <w:t>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C9FBA4" w14:textId="77777777" w:rsidR="00984E0D" w:rsidRPr="000D79CD" w:rsidRDefault="00984E0D" w:rsidP="00A24A5C">
            <w:pPr>
              <w:pStyle w:val="Heading3"/>
              <w:spacing w:before="60" w:after="60"/>
              <w:ind w:left="-113" w:right="-109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t>FEC_2023_11_16_P3</w:t>
            </w:r>
          </w:p>
        </w:tc>
      </w:tr>
      <w:tr w:rsidR="00984E0D" w:rsidRPr="008A753B" w14:paraId="2EB37389" w14:textId="77777777" w:rsidTr="00A24A5C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C57B29" w14:textId="67038513" w:rsidR="00984E0D" w:rsidRPr="008A753B" w:rsidRDefault="00D400BA" w:rsidP="00A24A5C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84E0D" w:rsidRPr="008A753B">
              <w:rPr>
                <w:sz w:val="24"/>
                <w:szCs w:val="24"/>
              </w:rPr>
              <w:t xml:space="preserve">.1 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2C244" w14:textId="48C032BB" w:rsidR="00984E0D" w:rsidRPr="00A26A10" w:rsidRDefault="00984E0D" w:rsidP="00A24A5C">
            <w:pPr>
              <w:spacing w:before="60" w:after="60"/>
              <w:rPr>
                <w:sz w:val="24"/>
                <w:szCs w:val="24"/>
              </w:rPr>
            </w:pPr>
            <w:r w:rsidRPr="00A26A10">
              <w:rPr>
                <w:sz w:val="24"/>
                <w:szCs w:val="24"/>
              </w:rPr>
              <w:t xml:space="preserve">The Committee </w:t>
            </w:r>
            <w:r w:rsidRPr="002E560D">
              <w:rPr>
                <w:b/>
                <w:bCs/>
                <w:sz w:val="24"/>
                <w:szCs w:val="24"/>
              </w:rPr>
              <w:t>approved</w:t>
            </w:r>
            <w:r w:rsidRPr="00A26A10">
              <w:rPr>
                <w:sz w:val="24"/>
                <w:szCs w:val="24"/>
              </w:rPr>
              <w:t xml:space="preserve"> the minutes (including the confidential minutes) of the meeting held on </w:t>
            </w:r>
            <w:r>
              <w:rPr>
                <w:sz w:val="24"/>
                <w:szCs w:val="24"/>
              </w:rPr>
              <w:t xml:space="preserve">28 September </w:t>
            </w:r>
            <w:r w:rsidRPr="00A26A1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26A10">
              <w:rPr>
                <w:sz w:val="24"/>
                <w:szCs w:val="24"/>
              </w:rPr>
              <w:t xml:space="preserve"> as an accurate record.</w:t>
            </w:r>
          </w:p>
        </w:tc>
      </w:tr>
      <w:tr w:rsidR="00714518" w:rsidRPr="008A753B" w14:paraId="503AB635" w14:textId="77777777" w:rsidTr="00C650F7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2C02E1" w14:textId="7DCF7891" w:rsidR="00714518" w:rsidRPr="00826269" w:rsidRDefault="00714518" w:rsidP="00C650F7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FEC_2023_11_16_</w:t>
            </w:r>
            <w:r w:rsidR="00D400BA">
              <w:t>7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7718C7" w14:textId="77777777" w:rsidR="00714518" w:rsidRPr="008A753B" w:rsidRDefault="00714518" w:rsidP="00C650F7">
            <w:pPr>
              <w:pStyle w:val="Heading2"/>
            </w:pPr>
            <w:r w:rsidRPr="008A753B">
              <w:t>MATTERS ARISING</w:t>
            </w:r>
            <w:r>
              <w:t xml:space="preserve"> AND ACTION TRACKER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FE561E" w14:textId="77777777" w:rsidR="00714518" w:rsidRPr="00CC16EB" w:rsidRDefault="00714518" w:rsidP="00C650F7">
            <w:pPr>
              <w:pStyle w:val="Heading3"/>
              <w:spacing w:before="60" w:after="60"/>
              <w:ind w:left="-113" w:right="-109"/>
              <w:jc w:val="right"/>
            </w:pPr>
            <w:r>
              <w:t>FEC_2023_11_16_P4</w:t>
            </w:r>
          </w:p>
        </w:tc>
      </w:tr>
      <w:tr w:rsidR="00714518" w:rsidRPr="008A753B" w14:paraId="0422D0ED" w14:textId="77777777" w:rsidTr="00C650F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76CEC16" w14:textId="18E85EDE" w:rsidR="00714518" w:rsidRPr="008A753B" w:rsidRDefault="00D400BA" w:rsidP="00C650F7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14518" w:rsidRPr="008A753B"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6D47F" w14:textId="0E8404A1" w:rsidR="00C4592A" w:rsidRPr="00844371" w:rsidRDefault="00844371" w:rsidP="0084437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844371">
              <w:rPr>
                <w:sz w:val="24"/>
                <w:szCs w:val="24"/>
              </w:rPr>
              <w:t xml:space="preserve">The University Secretary briefed FEC on </w:t>
            </w:r>
            <w:r w:rsidRPr="00844371">
              <w:rPr>
                <w:color w:val="000000" w:themeColor="text1"/>
                <w:sz w:val="24"/>
                <w:szCs w:val="24"/>
              </w:rPr>
              <w:t>the</w:t>
            </w:r>
            <w:r w:rsidR="00714518" w:rsidRPr="00844371">
              <w:rPr>
                <w:color w:val="000000" w:themeColor="text1"/>
                <w:sz w:val="24"/>
                <w:szCs w:val="24"/>
              </w:rPr>
              <w:t xml:space="preserve"> dissolution of SHU Law Ltd</w:t>
            </w:r>
            <w:r w:rsidRPr="00844371">
              <w:rPr>
                <w:color w:val="000000" w:themeColor="text1"/>
                <w:sz w:val="24"/>
                <w:szCs w:val="24"/>
              </w:rPr>
              <w:t>, noting that the Company’s</w:t>
            </w:r>
            <w:r w:rsidR="00C4592A" w:rsidRPr="00844371">
              <w:rPr>
                <w:color w:val="000000" w:themeColor="text1"/>
                <w:sz w:val="24"/>
                <w:szCs w:val="24"/>
              </w:rPr>
              <w:t xml:space="preserve"> Board </w:t>
            </w:r>
            <w:r w:rsidRPr="00844371">
              <w:rPr>
                <w:color w:val="000000" w:themeColor="text1"/>
                <w:sz w:val="24"/>
                <w:szCs w:val="24"/>
              </w:rPr>
              <w:t xml:space="preserve">of Directors had </w:t>
            </w:r>
            <w:r w:rsidR="00C4592A" w:rsidRPr="00844371">
              <w:rPr>
                <w:color w:val="000000" w:themeColor="text1"/>
                <w:sz w:val="24"/>
                <w:szCs w:val="24"/>
              </w:rPr>
              <w:t xml:space="preserve">met earlier </w:t>
            </w:r>
            <w:r w:rsidRPr="00844371">
              <w:rPr>
                <w:color w:val="000000" w:themeColor="text1"/>
                <w:sz w:val="24"/>
                <w:szCs w:val="24"/>
              </w:rPr>
              <w:t>that day and had</w:t>
            </w:r>
            <w:r w:rsidR="00C4592A" w:rsidRPr="00844371">
              <w:rPr>
                <w:color w:val="000000" w:themeColor="text1"/>
                <w:sz w:val="24"/>
                <w:szCs w:val="24"/>
              </w:rPr>
              <w:t xml:space="preserve"> received assurance around </w:t>
            </w:r>
            <w:r w:rsidRPr="00844371">
              <w:rPr>
                <w:color w:val="000000" w:themeColor="text1"/>
                <w:sz w:val="24"/>
                <w:szCs w:val="24"/>
              </w:rPr>
              <w:t xml:space="preserve">the </w:t>
            </w:r>
            <w:r w:rsidR="00C4592A" w:rsidRPr="00844371">
              <w:rPr>
                <w:color w:val="000000" w:themeColor="text1"/>
                <w:sz w:val="24"/>
                <w:szCs w:val="24"/>
              </w:rPr>
              <w:t xml:space="preserve">timeline for </w:t>
            </w:r>
            <w:r w:rsidRPr="00844371">
              <w:rPr>
                <w:color w:val="000000" w:themeColor="text1"/>
                <w:sz w:val="24"/>
                <w:szCs w:val="24"/>
              </w:rPr>
              <w:t xml:space="preserve">de-registration </w:t>
            </w:r>
            <w:r w:rsidR="00C4592A" w:rsidRPr="00844371">
              <w:rPr>
                <w:color w:val="000000" w:themeColor="text1"/>
                <w:sz w:val="24"/>
                <w:szCs w:val="24"/>
              </w:rPr>
              <w:t xml:space="preserve">with </w:t>
            </w:r>
            <w:r w:rsidRPr="00844371">
              <w:rPr>
                <w:color w:val="000000" w:themeColor="text1"/>
                <w:sz w:val="24"/>
                <w:szCs w:val="24"/>
              </w:rPr>
              <w:t>the Solicitors Regulation Authority (</w:t>
            </w:r>
            <w:r w:rsidR="00C4592A" w:rsidRPr="00844371">
              <w:rPr>
                <w:color w:val="000000" w:themeColor="text1"/>
                <w:sz w:val="24"/>
                <w:szCs w:val="24"/>
              </w:rPr>
              <w:t>SRA</w:t>
            </w:r>
            <w:r w:rsidRPr="00844371">
              <w:rPr>
                <w:color w:val="000000" w:themeColor="text1"/>
                <w:sz w:val="24"/>
                <w:szCs w:val="24"/>
              </w:rPr>
              <w:t>)</w:t>
            </w:r>
            <w:r w:rsidR="00C4592A" w:rsidRPr="00844371">
              <w:rPr>
                <w:color w:val="000000" w:themeColor="text1"/>
                <w:sz w:val="24"/>
                <w:szCs w:val="24"/>
              </w:rPr>
              <w:t xml:space="preserve"> and dissolution by 29 February 2024</w:t>
            </w:r>
            <w:r w:rsidRPr="0084437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8104FF" w:rsidRPr="008A753B" w14:paraId="5E77A7D9" w14:textId="77777777" w:rsidTr="00C650F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7494A5" w14:textId="0F017A0C" w:rsidR="008104FF" w:rsidRPr="00A85DEC" w:rsidRDefault="008104FF" w:rsidP="00C650F7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FEC_2023_11_16_</w:t>
            </w:r>
            <w:r w:rsidR="00D400BA">
              <w:t>8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776378" w14:textId="77777777" w:rsidR="008104FF" w:rsidRPr="00A85DEC" w:rsidRDefault="008104FF" w:rsidP="00C650F7">
            <w:pPr>
              <w:pStyle w:val="Heading2"/>
              <w:rPr>
                <w:sz w:val="20"/>
                <w:szCs w:val="20"/>
              </w:rPr>
            </w:pPr>
            <w:r>
              <w:rPr>
                <w:bCs/>
                <w:szCs w:val="24"/>
              </w:rPr>
              <w:t>FINANCIAL MATTERS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2FD127" w14:textId="77777777" w:rsidR="008104FF" w:rsidRPr="009E30DD" w:rsidRDefault="008104FF" w:rsidP="00C650F7">
            <w:pPr>
              <w:spacing w:before="60" w:after="60"/>
              <w:ind w:right="-109"/>
              <w:jc w:val="right"/>
              <w:rPr>
                <w:sz w:val="18"/>
                <w:szCs w:val="18"/>
              </w:rPr>
            </w:pPr>
          </w:p>
        </w:tc>
      </w:tr>
      <w:bookmarkEnd w:id="2"/>
      <w:tr w:rsidR="0067003F" w:rsidRPr="008A753B" w14:paraId="1125809F" w14:textId="77777777" w:rsidTr="0067003F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EC0F21D" w14:textId="4AB8414F" w:rsidR="0067003F" w:rsidRDefault="0067003F" w:rsidP="000D02D5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nil"/>
            </w:tcBorders>
          </w:tcPr>
          <w:p w14:paraId="31DA2F88" w14:textId="03215399" w:rsidR="0067003F" w:rsidRPr="0067003F" w:rsidRDefault="0067003F" w:rsidP="0067003F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67003F">
              <w:rPr>
                <w:b/>
                <w:bCs/>
                <w:sz w:val="24"/>
                <w:szCs w:val="24"/>
              </w:rPr>
              <w:t>Draft 5-Year Financial Forecast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B1509CB" w14:textId="04EFBF9D" w:rsidR="0067003F" w:rsidRPr="0067003F" w:rsidRDefault="0067003F" w:rsidP="0067003F">
            <w:pPr>
              <w:pStyle w:val="Heading3"/>
              <w:spacing w:before="60" w:after="60"/>
              <w:ind w:left="-113" w:right="-109"/>
              <w:jc w:val="right"/>
            </w:pPr>
            <w:r w:rsidRPr="0067003F">
              <w:t>FEC_2023_11_16_P5.1</w:t>
            </w:r>
          </w:p>
        </w:tc>
      </w:tr>
      <w:bookmarkEnd w:id="1"/>
      <w:tr w:rsidR="0067017B" w:rsidRPr="008A753B" w14:paraId="64316D63" w14:textId="77777777" w:rsidTr="00BB1097">
        <w:tc>
          <w:tcPr>
            <w:tcW w:w="1560" w:type="dxa"/>
            <w:tcBorders>
              <w:top w:val="nil"/>
              <w:bottom w:val="nil"/>
            </w:tcBorders>
          </w:tcPr>
          <w:p w14:paraId="1EAC6D96" w14:textId="5E1FD67F" w:rsidR="0067017B" w:rsidRDefault="00D400BA" w:rsidP="000D02D5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701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51825E8A" w14:textId="7488CE5B" w:rsidR="004B00C6" w:rsidRDefault="00542FA5" w:rsidP="002402A1">
            <w:pPr>
              <w:tabs>
                <w:tab w:val="left" w:pos="2552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RK presented the five-</w:t>
            </w:r>
            <w:r w:rsidR="004B00C6" w:rsidRPr="00690526">
              <w:rPr>
                <w:rFonts w:cstheme="minorHAnsi"/>
                <w:bCs/>
                <w:sz w:val="24"/>
                <w:szCs w:val="24"/>
              </w:rPr>
              <w:t xml:space="preserve">year financial forecast </w:t>
            </w:r>
            <w:r>
              <w:rPr>
                <w:rFonts w:cstheme="minorHAnsi"/>
                <w:bCs/>
                <w:sz w:val="24"/>
                <w:szCs w:val="24"/>
              </w:rPr>
              <w:t>for 2023</w:t>
            </w:r>
            <w:r w:rsidRPr="00690526">
              <w:rPr>
                <w:rFonts w:cstheme="minorHAnsi"/>
                <w:bCs/>
                <w:sz w:val="24"/>
                <w:szCs w:val="24"/>
              </w:rPr>
              <w:t>/2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690526">
              <w:rPr>
                <w:rFonts w:cstheme="minorHAnsi"/>
                <w:bCs/>
                <w:sz w:val="24"/>
                <w:szCs w:val="24"/>
              </w:rPr>
              <w:t xml:space="preserve"> to 202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Pr="00690526">
              <w:rPr>
                <w:rFonts w:cstheme="minorHAnsi"/>
                <w:bCs/>
                <w:sz w:val="24"/>
                <w:szCs w:val="24"/>
              </w:rPr>
              <w:t>/2</w:t>
            </w:r>
            <w:r>
              <w:rPr>
                <w:rFonts w:cstheme="minorHAnsi"/>
                <w:bCs/>
                <w:sz w:val="24"/>
                <w:szCs w:val="24"/>
              </w:rPr>
              <w:t>8, noting that th</w:t>
            </w:r>
            <w:r w:rsidR="004B00C6">
              <w:rPr>
                <w:rFonts w:cstheme="minorHAnsi"/>
                <w:bCs/>
                <w:sz w:val="24"/>
                <w:szCs w:val="24"/>
              </w:rPr>
              <w:t xml:space="preserve">e first two years </w:t>
            </w:r>
            <w:r>
              <w:rPr>
                <w:rFonts w:cstheme="minorHAnsi"/>
                <w:bCs/>
                <w:sz w:val="24"/>
                <w:szCs w:val="24"/>
              </w:rPr>
              <w:t>were</w:t>
            </w:r>
            <w:r w:rsidR="004B00C6" w:rsidRPr="00690526">
              <w:rPr>
                <w:rFonts w:cstheme="minorHAnsi"/>
                <w:bCs/>
                <w:sz w:val="24"/>
                <w:szCs w:val="24"/>
              </w:rPr>
              <w:t xml:space="preserve"> fundamental to </w:t>
            </w:r>
            <w:r>
              <w:rPr>
                <w:rFonts w:cstheme="minorHAnsi"/>
                <w:bCs/>
                <w:sz w:val="24"/>
                <w:szCs w:val="24"/>
              </w:rPr>
              <w:t>the</w:t>
            </w:r>
            <w:r w:rsidR="004B00C6" w:rsidRPr="0069052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B00C6">
              <w:rPr>
                <w:rFonts w:cstheme="minorHAnsi"/>
                <w:bCs/>
                <w:sz w:val="24"/>
                <w:szCs w:val="24"/>
              </w:rPr>
              <w:t xml:space="preserve">external </w:t>
            </w:r>
            <w:r w:rsidR="004B00C6" w:rsidRPr="00690526">
              <w:rPr>
                <w:rFonts w:cstheme="minorHAnsi"/>
                <w:bCs/>
                <w:sz w:val="24"/>
                <w:szCs w:val="24"/>
              </w:rPr>
              <w:t>auditor</w:t>
            </w:r>
            <w:r>
              <w:rPr>
                <w:rFonts w:cstheme="minorHAnsi"/>
                <w:bCs/>
                <w:sz w:val="24"/>
                <w:szCs w:val="24"/>
              </w:rPr>
              <w:t>s’</w:t>
            </w:r>
            <w:r w:rsidR="004B00C6" w:rsidRPr="0069052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402A1">
              <w:rPr>
                <w:rFonts w:cstheme="minorHAnsi"/>
                <w:bCs/>
                <w:sz w:val="24"/>
                <w:szCs w:val="24"/>
              </w:rPr>
              <w:t>assessment</w:t>
            </w:r>
            <w:r w:rsidR="004B00C6" w:rsidRPr="0069052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B00C6" w:rsidRPr="00690526">
              <w:rPr>
                <w:rFonts w:cstheme="minorHAnsi"/>
                <w:sz w:val="24"/>
                <w:szCs w:val="24"/>
              </w:rPr>
              <w:t xml:space="preserve">of </w:t>
            </w:r>
            <w:r>
              <w:rPr>
                <w:rFonts w:cstheme="minorHAnsi"/>
                <w:sz w:val="24"/>
                <w:szCs w:val="24"/>
              </w:rPr>
              <w:t>the University’s</w:t>
            </w:r>
            <w:r w:rsidR="004B00C6" w:rsidRPr="00690526">
              <w:rPr>
                <w:rFonts w:cstheme="minorHAnsi"/>
                <w:sz w:val="24"/>
                <w:szCs w:val="24"/>
              </w:rPr>
              <w:t xml:space="preserve"> ‘going concern’ status and their audit opinion on the 202</w:t>
            </w:r>
            <w:r w:rsidR="004B00C6">
              <w:rPr>
                <w:rFonts w:cstheme="minorHAnsi"/>
                <w:sz w:val="24"/>
                <w:szCs w:val="24"/>
              </w:rPr>
              <w:t>2/</w:t>
            </w:r>
            <w:r w:rsidR="004B00C6" w:rsidRPr="00690526">
              <w:rPr>
                <w:rFonts w:cstheme="minorHAnsi"/>
                <w:sz w:val="24"/>
                <w:szCs w:val="24"/>
              </w:rPr>
              <w:t>2</w:t>
            </w:r>
            <w:r w:rsidR="004B00C6">
              <w:rPr>
                <w:rFonts w:cstheme="minorHAnsi"/>
                <w:sz w:val="24"/>
                <w:szCs w:val="24"/>
              </w:rPr>
              <w:t>3</w:t>
            </w:r>
            <w:r w:rsidR="004B00C6" w:rsidRPr="00690526">
              <w:rPr>
                <w:rFonts w:cstheme="minorHAnsi"/>
                <w:sz w:val="24"/>
                <w:szCs w:val="24"/>
              </w:rPr>
              <w:t xml:space="preserve"> Annual Report and Financial Statements </w:t>
            </w:r>
            <w:r>
              <w:rPr>
                <w:rFonts w:cstheme="minorHAnsi"/>
                <w:sz w:val="24"/>
                <w:szCs w:val="24"/>
              </w:rPr>
              <w:t xml:space="preserve">which FEC had </w:t>
            </w:r>
            <w:r w:rsidR="004B00C6">
              <w:rPr>
                <w:rFonts w:cstheme="minorHAnsi"/>
                <w:sz w:val="24"/>
                <w:szCs w:val="24"/>
              </w:rPr>
              <w:t xml:space="preserve">considered earlier in the day </w:t>
            </w:r>
            <w:r>
              <w:rPr>
                <w:rFonts w:cstheme="minorHAnsi"/>
                <w:sz w:val="24"/>
                <w:szCs w:val="24"/>
              </w:rPr>
              <w:t xml:space="preserve">jointly </w:t>
            </w:r>
            <w:r w:rsidR="004B00C6">
              <w:rPr>
                <w:rFonts w:cstheme="minorHAnsi"/>
                <w:sz w:val="24"/>
                <w:szCs w:val="24"/>
              </w:rPr>
              <w:t>with the Audit and Risk Committee</w:t>
            </w:r>
            <w:r w:rsidR="004B00C6" w:rsidRPr="00690526">
              <w:rPr>
                <w:rFonts w:cstheme="minorHAnsi"/>
                <w:sz w:val="24"/>
                <w:szCs w:val="24"/>
              </w:rPr>
              <w:t>.</w:t>
            </w:r>
            <w:r w:rsidR="004B00C6" w:rsidRPr="00640531">
              <w:rPr>
                <w:sz w:val="24"/>
                <w:szCs w:val="24"/>
              </w:rPr>
              <w:t xml:space="preserve"> </w:t>
            </w:r>
          </w:p>
          <w:p w14:paraId="48E7D5C1" w14:textId="77777777" w:rsidR="002402A1" w:rsidRDefault="00542FA5" w:rsidP="002402A1">
            <w:pPr>
              <w:tabs>
                <w:tab w:val="center" w:pos="4513"/>
                <w:tab w:val="right" w:pos="9026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 was noted that</w:t>
            </w:r>
            <w:r w:rsidR="00056D7A">
              <w:rPr>
                <w:rFonts w:cstheme="minorHAnsi"/>
                <w:sz w:val="24"/>
                <w:szCs w:val="24"/>
              </w:rPr>
              <w:t>, whilst compliant with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056D7A">
              <w:rPr>
                <w:rFonts w:cstheme="minorHAnsi"/>
                <w:sz w:val="24"/>
                <w:szCs w:val="24"/>
              </w:rPr>
              <w:t xml:space="preserve">Office for Students (OfS) requirements, </w:t>
            </w:r>
            <w:r>
              <w:rPr>
                <w:rFonts w:cstheme="minorHAnsi"/>
                <w:sz w:val="24"/>
                <w:szCs w:val="24"/>
              </w:rPr>
              <w:t>the</w:t>
            </w:r>
            <w:r w:rsidR="004B00C6">
              <w:rPr>
                <w:rFonts w:cstheme="minorHAnsi"/>
                <w:sz w:val="24"/>
                <w:szCs w:val="24"/>
              </w:rPr>
              <w:t xml:space="preserve"> Forecast </w:t>
            </w:r>
            <w:r w:rsidR="002402A1">
              <w:rPr>
                <w:rFonts w:cstheme="minorHAnsi"/>
                <w:sz w:val="24"/>
                <w:szCs w:val="24"/>
              </w:rPr>
              <w:t>differed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B00C6">
              <w:rPr>
                <w:rFonts w:cstheme="minorHAnsi"/>
                <w:sz w:val="24"/>
                <w:szCs w:val="24"/>
              </w:rPr>
              <w:t xml:space="preserve">significantly </w:t>
            </w:r>
            <w:r w:rsidR="002402A1">
              <w:rPr>
                <w:rFonts w:cstheme="minorHAnsi"/>
                <w:sz w:val="24"/>
                <w:szCs w:val="24"/>
              </w:rPr>
              <w:t xml:space="preserve">from </w:t>
            </w:r>
            <w:r w:rsidR="004B00C6">
              <w:rPr>
                <w:rFonts w:cstheme="minorHAnsi"/>
                <w:sz w:val="24"/>
                <w:szCs w:val="24"/>
              </w:rPr>
              <w:t>last year’s submission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402A1">
              <w:rPr>
                <w:rFonts w:cstheme="minorHAnsi"/>
                <w:sz w:val="24"/>
                <w:szCs w:val="24"/>
              </w:rPr>
              <w:t>in terms of</w:t>
            </w:r>
            <w:r>
              <w:rPr>
                <w:rFonts w:cstheme="minorHAnsi"/>
                <w:sz w:val="24"/>
                <w:szCs w:val="24"/>
              </w:rPr>
              <w:t xml:space="preserve"> considerable movements in income and expenditure</w:t>
            </w:r>
            <w:r w:rsidR="002402A1">
              <w:rPr>
                <w:rFonts w:cstheme="minorHAnsi"/>
                <w:sz w:val="24"/>
                <w:szCs w:val="24"/>
              </w:rPr>
              <w:t xml:space="preserve">. The Forecast was </w:t>
            </w:r>
            <w:r>
              <w:rPr>
                <w:rFonts w:cstheme="minorHAnsi"/>
                <w:sz w:val="24"/>
                <w:szCs w:val="24"/>
              </w:rPr>
              <w:t>underpinned by the M</w:t>
            </w:r>
            <w:r w:rsidR="004B00C6">
              <w:rPr>
                <w:rFonts w:cstheme="minorHAnsi"/>
                <w:sz w:val="24"/>
                <w:szCs w:val="24"/>
              </w:rPr>
              <w:t xml:space="preserve">edium-Term Financial Strategy (MTFS) </w:t>
            </w:r>
            <w:r>
              <w:rPr>
                <w:rFonts w:cstheme="minorHAnsi"/>
                <w:sz w:val="24"/>
                <w:szCs w:val="24"/>
              </w:rPr>
              <w:t>which set</w:t>
            </w:r>
            <w:r w:rsidR="004B00C6">
              <w:rPr>
                <w:rFonts w:cstheme="minorHAnsi"/>
                <w:sz w:val="24"/>
                <w:szCs w:val="24"/>
              </w:rPr>
              <w:t xml:space="preserve"> out the underlying </w:t>
            </w:r>
            <w:r w:rsidR="004B00C6" w:rsidRPr="00ED4602">
              <w:rPr>
                <w:sz w:val="24"/>
                <w:szCs w:val="24"/>
              </w:rPr>
              <w:t xml:space="preserve">financial parameters </w:t>
            </w:r>
            <w:r w:rsidR="004B00C6">
              <w:rPr>
                <w:sz w:val="24"/>
                <w:szCs w:val="24"/>
              </w:rPr>
              <w:t>within which</w:t>
            </w:r>
            <w:r w:rsidR="004B00C6" w:rsidRPr="00ED4602">
              <w:rPr>
                <w:sz w:val="24"/>
                <w:szCs w:val="24"/>
              </w:rPr>
              <w:t xml:space="preserve"> the University </w:t>
            </w:r>
            <w:r>
              <w:rPr>
                <w:sz w:val="24"/>
                <w:szCs w:val="24"/>
              </w:rPr>
              <w:t>would</w:t>
            </w:r>
            <w:r w:rsidR="004B00C6" w:rsidRPr="00ED4602">
              <w:rPr>
                <w:sz w:val="24"/>
                <w:szCs w:val="24"/>
              </w:rPr>
              <w:t xml:space="preserve"> need to operate to remain sustainable</w:t>
            </w:r>
            <w:r>
              <w:rPr>
                <w:sz w:val="24"/>
                <w:szCs w:val="24"/>
              </w:rPr>
              <w:t>.</w:t>
            </w:r>
            <w:r w:rsidR="002402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 w:rsidR="004B00C6" w:rsidRPr="008C7B20">
              <w:rPr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 xml:space="preserve">Forecast moved the </w:t>
            </w:r>
            <w:r w:rsidR="004B00C6" w:rsidRPr="008C7B20">
              <w:rPr>
                <w:sz w:val="24"/>
                <w:szCs w:val="24"/>
              </w:rPr>
              <w:t>University from a position of relatively low cash generation</w:t>
            </w:r>
            <w:r w:rsidR="004B00C6">
              <w:rPr>
                <w:sz w:val="24"/>
                <w:szCs w:val="24"/>
              </w:rPr>
              <w:t xml:space="preserve"> </w:t>
            </w:r>
            <w:r w:rsidR="004B00C6" w:rsidRPr="008C7B20">
              <w:rPr>
                <w:sz w:val="24"/>
                <w:szCs w:val="24"/>
              </w:rPr>
              <w:t xml:space="preserve">in </w:t>
            </w:r>
            <w:r w:rsidR="004B00C6">
              <w:rPr>
                <w:sz w:val="24"/>
                <w:szCs w:val="24"/>
              </w:rPr>
              <w:t>20</w:t>
            </w:r>
            <w:r w:rsidR="004B00C6" w:rsidRPr="008C7B20">
              <w:rPr>
                <w:sz w:val="24"/>
                <w:szCs w:val="24"/>
              </w:rPr>
              <w:t xml:space="preserve">23/24 to </w:t>
            </w:r>
            <w:r w:rsidR="002402A1">
              <w:rPr>
                <w:sz w:val="24"/>
                <w:szCs w:val="24"/>
              </w:rPr>
              <w:t>a more sustainable financial position by</w:t>
            </w:r>
            <w:r w:rsidR="004B00C6" w:rsidRPr="008C7B20">
              <w:rPr>
                <w:sz w:val="24"/>
                <w:szCs w:val="24"/>
              </w:rPr>
              <w:t xml:space="preserve"> </w:t>
            </w:r>
            <w:r w:rsidR="004B00C6">
              <w:rPr>
                <w:sz w:val="24"/>
                <w:szCs w:val="24"/>
              </w:rPr>
              <w:t>20</w:t>
            </w:r>
            <w:r w:rsidR="004B00C6" w:rsidRPr="008C7B20">
              <w:rPr>
                <w:sz w:val="24"/>
                <w:szCs w:val="24"/>
              </w:rPr>
              <w:t>27/28</w:t>
            </w:r>
            <w:r w:rsidR="002402A1">
              <w:rPr>
                <w:sz w:val="24"/>
                <w:szCs w:val="24"/>
              </w:rPr>
              <w:t xml:space="preserve"> with steady improvement in bank</w:t>
            </w:r>
            <w:r w:rsidR="004B00C6" w:rsidRPr="008C7B20">
              <w:rPr>
                <w:sz w:val="24"/>
                <w:szCs w:val="24"/>
              </w:rPr>
              <w:t xml:space="preserve"> covenant headroom</w:t>
            </w:r>
            <w:r w:rsidR="002402A1">
              <w:rPr>
                <w:sz w:val="24"/>
                <w:szCs w:val="24"/>
              </w:rPr>
              <w:t xml:space="preserve">. </w:t>
            </w:r>
          </w:p>
          <w:p w14:paraId="6A009470" w14:textId="7F039E96" w:rsidR="004B00C6" w:rsidRDefault="00542FA5" w:rsidP="002402A1">
            <w:pPr>
              <w:tabs>
                <w:tab w:val="center" w:pos="4513"/>
                <w:tab w:val="right" w:pos="9026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 considered the underlying </w:t>
            </w:r>
            <w:r w:rsidR="004B00C6" w:rsidRPr="0067003F">
              <w:rPr>
                <w:rFonts w:cstheme="minorHAnsi"/>
                <w:sz w:val="24"/>
                <w:szCs w:val="24"/>
              </w:rPr>
              <w:t xml:space="preserve">assumptions for the Forecast </w:t>
            </w:r>
            <w:r>
              <w:rPr>
                <w:rFonts w:cstheme="minorHAnsi"/>
                <w:sz w:val="24"/>
                <w:szCs w:val="24"/>
              </w:rPr>
              <w:t>including:</w:t>
            </w:r>
          </w:p>
          <w:p w14:paraId="4915635F" w14:textId="5D8A9965" w:rsidR="004B00C6" w:rsidRDefault="00542FA5" w:rsidP="002402A1">
            <w:pPr>
              <w:pStyle w:val="ListParagraph"/>
              <w:numPr>
                <w:ilvl w:val="0"/>
                <w:numId w:val="42"/>
              </w:numPr>
              <w:spacing w:before="60" w:after="6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completion of the Howard Street Development (Blocks A-D</w:t>
            </w:r>
            <w:proofErr w:type="gramStart"/>
            <w:r>
              <w:rPr>
                <w:sz w:val="24"/>
                <w:szCs w:val="24"/>
              </w:rPr>
              <w:t>);</w:t>
            </w:r>
            <w:proofErr w:type="gramEnd"/>
          </w:p>
          <w:p w14:paraId="1547510A" w14:textId="05164CE2" w:rsidR="004B00C6" w:rsidRPr="00542FA5" w:rsidRDefault="00542FA5" w:rsidP="002402A1">
            <w:pPr>
              <w:pStyle w:val="ListParagraph"/>
              <w:numPr>
                <w:ilvl w:val="0"/>
                <w:numId w:val="42"/>
              </w:numPr>
              <w:spacing w:before="60" w:after="6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provision for the </w:t>
            </w:r>
            <w:r w:rsidR="004B00C6" w:rsidRPr="004B00C6">
              <w:rPr>
                <w:sz w:val="24"/>
                <w:szCs w:val="24"/>
              </w:rPr>
              <w:t>London Campus</w:t>
            </w:r>
            <w:r w:rsidR="004B00C6">
              <w:rPr>
                <w:sz w:val="24"/>
                <w:szCs w:val="24"/>
              </w:rPr>
              <w:t xml:space="preserve"> and Online </w:t>
            </w:r>
            <w:proofErr w:type="gramStart"/>
            <w:r w:rsidR="004B00C6">
              <w:rPr>
                <w:sz w:val="24"/>
                <w:szCs w:val="24"/>
              </w:rPr>
              <w:t>Project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14:paraId="73E33876" w14:textId="3472C7A1" w:rsidR="00542FA5" w:rsidRPr="004B00C6" w:rsidRDefault="00542FA5" w:rsidP="002402A1">
            <w:pPr>
              <w:pStyle w:val="ListParagraph"/>
              <w:numPr>
                <w:ilvl w:val="0"/>
                <w:numId w:val="42"/>
              </w:numPr>
              <w:spacing w:before="60" w:after="60"/>
              <w:ind w:left="714" w:hanging="357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Home undergraduate growth of 3% p.a.; and </w:t>
            </w:r>
          </w:p>
          <w:p w14:paraId="05B9C811" w14:textId="60E54B39" w:rsidR="004B00C6" w:rsidRPr="004B00C6" w:rsidRDefault="004B00C6" w:rsidP="002402A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spacing w:before="60" w:after="60"/>
              <w:contextualSpacing w:val="0"/>
              <w:rPr>
                <w:rFonts w:cstheme="minorHAnsi"/>
                <w:sz w:val="24"/>
                <w:szCs w:val="24"/>
              </w:rPr>
            </w:pPr>
            <w:r w:rsidRPr="004B00C6">
              <w:rPr>
                <w:rFonts w:cstheme="minorHAnsi"/>
                <w:sz w:val="24"/>
                <w:szCs w:val="24"/>
              </w:rPr>
              <w:t xml:space="preserve">a further £30m investment capacity p.a. from 2024/25, increasing to £50m p.a. from 2026/27. </w:t>
            </w:r>
          </w:p>
          <w:p w14:paraId="57F4C4DE" w14:textId="13E240C1" w:rsidR="00C4592A" w:rsidRPr="00E378E3" w:rsidRDefault="00542FA5" w:rsidP="002402A1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Members debated </w:t>
            </w:r>
            <w:r w:rsidR="002402A1">
              <w:rPr>
                <w:rFonts w:cstheme="minorHAnsi"/>
                <w:sz w:val="24"/>
                <w:szCs w:val="24"/>
              </w:rPr>
              <w:t>an</w:t>
            </w:r>
            <w:r>
              <w:rPr>
                <w:rFonts w:cstheme="minorHAnsi"/>
                <w:sz w:val="24"/>
                <w:szCs w:val="24"/>
              </w:rPr>
              <w:t xml:space="preserve"> alternative </w:t>
            </w:r>
            <w:r w:rsidR="00D7154E">
              <w:rPr>
                <w:rFonts w:cstheme="minorHAnsi"/>
                <w:sz w:val="24"/>
                <w:szCs w:val="24"/>
              </w:rPr>
              <w:t xml:space="preserve">investment approach of </w:t>
            </w:r>
            <w:r w:rsidRPr="003E507A">
              <w:rPr>
                <w:rFonts w:cstheme="minorHAnsi"/>
                <w:sz w:val="24"/>
                <w:szCs w:val="24"/>
              </w:rPr>
              <w:t>£30m investment capacity</w:t>
            </w:r>
            <w:r w:rsidR="00D7154E">
              <w:rPr>
                <w:rFonts w:cstheme="minorHAnsi"/>
                <w:sz w:val="24"/>
                <w:szCs w:val="24"/>
              </w:rPr>
              <w:t xml:space="preserve"> </w:t>
            </w:r>
            <w:r w:rsidR="002402A1">
              <w:rPr>
                <w:rFonts w:cstheme="minorHAnsi"/>
                <w:sz w:val="24"/>
                <w:szCs w:val="24"/>
              </w:rPr>
              <w:t xml:space="preserve">p.a. </w:t>
            </w:r>
            <w:r w:rsidR="00D7154E">
              <w:rPr>
                <w:rFonts w:cstheme="minorHAnsi"/>
                <w:sz w:val="24"/>
                <w:szCs w:val="24"/>
              </w:rPr>
              <w:t>for the duration</w:t>
            </w:r>
            <w:r w:rsidR="002402A1">
              <w:rPr>
                <w:rFonts w:cstheme="minorHAnsi"/>
                <w:sz w:val="24"/>
                <w:szCs w:val="24"/>
              </w:rPr>
              <w:t xml:space="preserve"> of the Forecast</w:t>
            </w:r>
            <w:r w:rsidR="00D7154E">
              <w:rPr>
                <w:rFonts w:cstheme="minorHAnsi"/>
                <w:sz w:val="24"/>
                <w:szCs w:val="24"/>
              </w:rPr>
              <w:t xml:space="preserve"> which would mean challenges for further campus development and the University’s net zero ambitions.</w:t>
            </w:r>
            <w:r w:rsidR="00056D7A">
              <w:rPr>
                <w:rFonts w:cstheme="minorHAnsi"/>
                <w:sz w:val="24"/>
                <w:szCs w:val="24"/>
              </w:rPr>
              <w:t xml:space="preserve"> It was noted that a decision </w:t>
            </w:r>
            <w:r w:rsidR="002402A1">
              <w:rPr>
                <w:rFonts w:cstheme="minorHAnsi"/>
                <w:sz w:val="24"/>
                <w:szCs w:val="24"/>
              </w:rPr>
              <w:t>to defer the London Campus</w:t>
            </w:r>
            <w:r w:rsidR="00056D7A">
              <w:rPr>
                <w:rFonts w:cstheme="minorHAnsi"/>
                <w:sz w:val="24"/>
                <w:szCs w:val="24"/>
              </w:rPr>
              <w:t xml:space="preserve"> did not make a transformative difference to the </w:t>
            </w:r>
            <w:r w:rsidR="002402A1">
              <w:rPr>
                <w:rFonts w:cstheme="minorHAnsi"/>
                <w:sz w:val="24"/>
                <w:szCs w:val="24"/>
              </w:rPr>
              <w:t>savings challenge</w:t>
            </w:r>
            <w:r w:rsidR="00056D7A">
              <w:rPr>
                <w:rFonts w:cstheme="minorHAnsi"/>
                <w:sz w:val="24"/>
                <w:szCs w:val="24"/>
              </w:rPr>
              <w:t xml:space="preserve"> </w:t>
            </w:r>
            <w:r w:rsidR="002402A1">
              <w:rPr>
                <w:rFonts w:cstheme="minorHAnsi"/>
                <w:sz w:val="24"/>
                <w:szCs w:val="24"/>
              </w:rPr>
              <w:t xml:space="preserve">ahead, </w:t>
            </w:r>
            <w:r w:rsidR="00056D7A">
              <w:rPr>
                <w:rFonts w:cstheme="minorHAnsi"/>
                <w:sz w:val="24"/>
                <w:szCs w:val="24"/>
              </w:rPr>
              <w:t xml:space="preserve">but </w:t>
            </w:r>
            <w:r w:rsidR="002402A1">
              <w:rPr>
                <w:rFonts w:cstheme="minorHAnsi"/>
                <w:sz w:val="24"/>
                <w:szCs w:val="24"/>
              </w:rPr>
              <w:t>that the Campus had a positive impact on the University’s financial position in later years.</w:t>
            </w:r>
            <w:r w:rsidR="00056D7A">
              <w:rPr>
                <w:rFonts w:cstheme="minorHAnsi"/>
                <w:sz w:val="24"/>
                <w:szCs w:val="24"/>
              </w:rPr>
              <w:t xml:space="preserve"> </w:t>
            </w:r>
            <w:r w:rsidR="001C58C3">
              <w:rPr>
                <w:sz w:val="24"/>
                <w:szCs w:val="24"/>
              </w:rPr>
              <w:t>The University Secretary reminded members</w:t>
            </w:r>
            <w:r w:rsidR="00475E05">
              <w:rPr>
                <w:sz w:val="24"/>
                <w:szCs w:val="24"/>
              </w:rPr>
              <w:t xml:space="preserve"> of the provisions of the </w:t>
            </w:r>
            <w:proofErr w:type="spellStart"/>
            <w:r w:rsidR="00475E05">
              <w:rPr>
                <w:sz w:val="24"/>
                <w:szCs w:val="24"/>
              </w:rPr>
              <w:t>OfS’s</w:t>
            </w:r>
            <w:proofErr w:type="spellEnd"/>
            <w:r w:rsidR="00475E05">
              <w:rPr>
                <w:sz w:val="24"/>
                <w:szCs w:val="24"/>
              </w:rPr>
              <w:t xml:space="preserve"> Reportable Events guidance in relation to the Financial Forecast.</w:t>
            </w:r>
            <w:r w:rsidR="001C58C3">
              <w:rPr>
                <w:sz w:val="24"/>
                <w:szCs w:val="24"/>
              </w:rPr>
              <w:t xml:space="preserve"> </w:t>
            </w:r>
          </w:p>
        </w:tc>
      </w:tr>
      <w:tr w:rsidR="0067017B" w:rsidRPr="008A753B" w14:paraId="26E96EB7" w14:textId="77777777" w:rsidTr="00BB1097">
        <w:tc>
          <w:tcPr>
            <w:tcW w:w="1560" w:type="dxa"/>
            <w:tcBorders>
              <w:top w:val="nil"/>
              <w:bottom w:val="nil"/>
            </w:tcBorders>
          </w:tcPr>
          <w:p w14:paraId="46BCEE79" w14:textId="0BEFF133" w:rsidR="0067017B" w:rsidRDefault="00D400BA" w:rsidP="000D02D5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47D3C2D1" w14:textId="3E491A95" w:rsidR="009C5BB5" w:rsidRPr="008B69EC" w:rsidRDefault="001C58C3" w:rsidP="001C58C3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  <w:highlight w:val="yellow"/>
              </w:rPr>
            </w:pPr>
            <w:r w:rsidRPr="00E14750">
              <w:rPr>
                <w:sz w:val="24"/>
                <w:szCs w:val="24"/>
              </w:rPr>
              <w:t xml:space="preserve">Members agreed </w:t>
            </w:r>
            <w:r w:rsidR="008B69EC" w:rsidRPr="00E14750">
              <w:rPr>
                <w:sz w:val="24"/>
                <w:szCs w:val="24"/>
              </w:rPr>
              <w:t>on the</w:t>
            </w:r>
            <w:r w:rsidRPr="00E14750">
              <w:rPr>
                <w:sz w:val="24"/>
                <w:szCs w:val="24"/>
              </w:rPr>
              <w:t xml:space="preserve"> importan</w:t>
            </w:r>
            <w:r w:rsidR="008B69EC" w:rsidRPr="00E14750">
              <w:rPr>
                <w:sz w:val="24"/>
                <w:szCs w:val="24"/>
              </w:rPr>
              <w:t xml:space="preserve">ce of </w:t>
            </w:r>
            <w:r w:rsidRPr="00E14750">
              <w:rPr>
                <w:sz w:val="24"/>
                <w:szCs w:val="24"/>
              </w:rPr>
              <w:t>be</w:t>
            </w:r>
            <w:r w:rsidR="008B69EC" w:rsidRPr="00E14750">
              <w:rPr>
                <w:sz w:val="24"/>
                <w:szCs w:val="24"/>
              </w:rPr>
              <w:t xml:space="preserve">ing </w:t>
            </w:r>
            <w:r w:rsidRPr="00E14750">
              <w:rPr>
                <w:sz w:val="24"/>
                <w:szCs w:val="24"/>
              </w:rPr>
              <w:t>mindful of the long-term</w:t>
            </w:r>
            <w:r w:rsidR="008B69EC" w:rsidRPr="00E14750">
              <w:rPr>
                <w:sz w:val="24"/>
                <w:szCs w:val="24"/>
              </w:rPr>
              <w:t xml:space="preserve"> and the r</w:t>
            </w:r>
            <w:r w:rsidRPr="00E14750">
              <w:rPr>
                <w:sz w:val="24"/>
                <w:szCs w:val="24"/>
              </w:rPr>
              <w:t xml:space="preserve">isk of making short-term </w:t>
            </w:r>
            <w:r w:rsidRPr="00A56ED6">
              <w:rPr>
                <w:sz w:val="24"/>
                <w:szCs w:val="24"/>
              </w:rPr>
              <w:t xml:space="preserve">decisions that </w:t>
            </w:r>
            <w:r w:rsidR="00E14750" w:rsidRPr="00A56ED6">
              <w:rPr>
                <w:sz w:val="24"/>
                <w:szCs w:val="24"/>
              </w:rPr>
              <w:t>could potentially have</w:t>
            </w:r>
            <w:r w:rsidR="00E71FBD" w:rsidRPr="00A56ED6">
              <w:rPr>
                <w:sz w:val="24"/>
                <w:szCs w:val="24"/>
              </w:rPr>
              <w:t xml:space="preserve"> </w:t>
            </w:r>
            <w:r w:rsidRPr="00A56ED6">
              <w:rPr>
                <w:sz w:val="24"/>
                <w:szCs w:val="24"/>
              </w:rPr>
              <w:t>a</w:t>
            </w:r>
            <w:r w:rsidR="00E71FBD" w:rsidRPr="00A56ED6">
              <w:rPr>
                <w:sz w:val="24"/>
                <w:szCs w:val="24"/>
              </w:rPr>
              <w:t xml:space="preserve"> negative</w:t>
            </w:r>
            <w:r w:rsidRPr="00A56ED6">
              <w:rPr>
                <w:sz w:val="24"/>
                <w:szCs w:val="24"/>
              </w:rPr>
              <w:t xml:space="preserve"> long-term impact. </w:t>
            </w:r>
            <w:r w:rsidR="00A56ED6" w:rsidRPr="00A56ED6">
              <w:rPr>
                <w:sz w:val="24"/>
                <w:szCs w:val="24"/>
              </w:rPr>
              <w:t>FEC acknowledged that the Forecast identified</w:t>
            </w:r>
            <w:r w:rsidRPr="00A56ED6">
              <w:rPr>
                <w:sz w:val="24"/>
                <w:szCs w:val="24"/>
              </w:rPr>
              <w:t xml:space="preserve"> action was needed to address </w:t>
            </w:r>
            <w:r w:rsidR="00E378E3" w:rsidRPr="00A56ED6">
              <w:rPr>
                <w:sz w:val="24"/>
                <w:szCs w:val="24"/>
              </w:rPr>
              <w:t xml:space="preserve">growth in </w:t>
            </w:r>
            <w:proofErr w:type="gramStart"/>
            <w:r w:rsidR="00E378E3" w:rsidRPr="00A56ED6">
              <w:rPr>
                <w:sz w:val="24"/>
                <w:szCs w:val="24"/>
              </w:rPr>
              <w:t>Home</w:t>
            </w:r>
            <w:proofErr w:type="gramEnd"/>
            <w:r w:rsidR="00E378E3" w:rsidRPr="00A56ED6">
              <w:rPr>
                <w:sz w:val="24"/>
                <w:szCs w:val="24"/>
              </w:rPr>
              <w:t xml:space="preserve"> </w:t>
            </w:r>
            <w:r w:rsidRPr="00A56ED6">
              <w:rPr>
                <w:sz w:val="24"/>
                <w:szCs w:val="24"/>
              </w:rPr>
              <w:t xml:space="preserve">undergraduate students and </w:t>
            </w:r>
            <w:r w:rsidR="00A56ED6" w:rsidRPr="00A56ED6">
              <w:rPr>
                <w:sz w:val="24"/>
                <w:szCs w:val="24"/>
              </w:rPr>
              <w:t xml:space="preserve">noted </w:t>
            </w:r>
            <w:r w:rsidRPr="00A56ED6">
              <w:rPr>
                <w:sz w:val="24"/>
                <w:szCs w:val="24"/>
              </w:rPr>
              <w:t xml:space="preserve">the positive impact London and the Online Project could have on </w:t>
            </w:r>
            <w:r w:rsidR="00A56ED6" w:rsidRPr="00A56ED6">
              <w:rPr>
                <w:sz w:val="24"/>
                <w:szCs w:val="24"/>
              </w:rPr>
              <w:t>recruitment in Sheffield since</w:t>
            </w:r>
            <w:r w:rsidRPr="00A56ED6">
              <w:rPr>
                <w:sz w:val="24"/>
                <w:szCs w:val="24"/>
              </w:rPr>
              <w:t xml:space="preserve"> both extended the brand beyond South Yorkshire. Action was</w:t>
            </w:r>
            <w:r w:rsidR="00A56ED6" w:rsidRPr="00A56ED6">
              <w:rPr>
                <w:sz w:val="24"/>
                <w:szCs w:val="24"/>
              </w:rPr>
              <w:t xml:space="preserve"> also</w:t>
            </w:r>
            <w:r w:rsidRPr="00A56ED6">
              <w:rPr>
                <w:sz w:val="24"/>
                <w:szCs w:val="24"/>
              </w:rPr>
              <w:t xml:space="preserve"> welcomed on expenditure.</w:t>
            </w:r>
          </w:p>
          <w:p w14:paraId="0215672C" w14:textId="49FD7CF9" w:rsidR="009C5BB5" w:rsidRPr="00A56ED6" w:rsidRDefault="00A56ED6" w:rsidP="00E378E3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FEC</w:t>
            </w:r>
            <w:r w:rsidR="001C58C3" w:rsidRPr="00A56ED6">
              <w:rPr>
                <w:sz w:val="24"/>
                <w:szCs w:val="24"/>
              </w:rPr>
              <w:t xml:space="preserve"> commented </w:t>
            </w:r>
            <w:r w:rsidRPr="00A56ED6">
              <w:rPr>
                <w:sz w:val="24"/>
                <w:szCs w:val="24"/>
              </w:rPr>
              <w:t xml:space="preserve">on the </w:t>
            </w:r>
            <w:r w:rsidR="001C58C3" w:rsidRPr="00A56ED6">
              <w:rPr>
                <w:sz w:val="24"/>
                <w:szCs w:val="24"/>
              </w:rPr>
              <w:t xml:space="preserve">net </w:t>
            </w:r>
            <w:r w:rsidR="009C5BB5" w:rsidRPr="00A56ED6">
              <w:rPr>
                <w:sz w:val="24"/>
                <w:szCs w:val="24"/>
              </w:rPr>
              <w:t xml:space="preserve">zero challenge for </w:t>
            </w:r>
            <w:r w:rsidRPr="00A56ED6">
              <w:rPr>
                <w:sz w:val="24"/>
                <w:szCs w:val="24"/>
              </w:rPr>
              <w:t>the sector, noting that investment capa</w:t>
            </w:r>
            <w:r w:rsidR="001C58C3" w:rsidRPr="00A56ED6">
              <w:rPr>
                <w:sz w:val="24"/>
                <w:szCs w:val="24"/>
              </w:rPr>
              <w:t xml:space="preserve">city to construct new </w:t>
            </w:r>
            <w:r w:rsidR="009C5BB5" w:rsidRPr="00A56ED6">
              <w:rPr>
                <w:sz w:val="24"/>
                <w:szCs w:val="24"/>
              </w:rPr>
              <w:t xml:space="preserve">buildings </w:t>
            </w:r>
            <w:r w:rsidRPr="00A56ED6">
              <w:rPr>
                <w:sz w:val="24"/>
                <w:szCs w:val="24"/>
              </w:rPr>
              <w:t>would help</w:t>
            </w:r>
            <w:r w:rsidR="001C58C3" w:rsidRPr="00A56ED6">
              <w:rPr>
                <w:sz w:val="24"/>
                <w:szCs w:val="24"/>
              </w:rPr>
              <w:t xml:space="preserve"> achieve </w:t>
            </w:r>
            <w:r w:rsidRPr="00A56ED6">
              <w:rPr>
                <w:sz w:val="24"/>
                <w:szCs w:val="24"/>
              </w:rPr>
              <w:t xml:space="preserve">the University’s ambitions in this </w:t>
            </w:r>
            <w:r>
              <w:rPr>
                <w:sz w:val="24"/>
                <w:szCs w:val="24"/>
              </w:rPr>
              <w:t xml:space="preserve">important </w:t>
            </w:r>
            <w:r w:rsidRPr="00A56ED6">
              <w:rPr>
                <w:sz w:val="24"/>
                <w:szCs w:val="24"/>
              </w:rPr>
              <w:t>area</w:t>
            </w:r>
            <w:r w:rsidR="009C5BB5" w:rsidRPr="00A56ED6">
              <w:rPr>
                <w:sz w:val="24"/>
                <w:szCs w:val="24"/>
              </w:rPr>
              <w:t xml:space="preserve">. </w:t>
            </w:r>
          </w:p>
          <w:p w14:paraId="28492C1A" w14:textId="7DBDD989" w:rsidR="009C5BB5" w:rsidRPr="00A56ED6" w:rsidRDefault="00CE415D" w:rsidP="00E378E3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 w:rsidRPr="00A56ED6">
              <w:rPr>
                <w:sz w:val="24"/>
                <w:szCs w:val="24"/>
              </w:rPr>
              <w:t>Members noted</w:t>
            </w:r>
            <w:r w:rsidR="009C5BB5" w:rsidRPr="00A56ED6">
              <w:rPr>
                <w:sz w:val="24"/>
                <w:szCs w:val="24"/>
              </w:rPr>
              <w:t xml:space="preserve"> </w:t>
            </w:r>
            <w:r w:rsidR="00A56ED6" w:rsidRPr="00A56ED6">
              <w:rPr>
                <w:sz w:val="24"/>
                <w:szCs w:val="24"/>
              </w:rPr>
              <w:t xml:space="preserve">that </w:t>
            </w:r>
            <w:r w:rsidR="009C5BB5" w:rsidRPr="00A56ED6">
              <w:rPr>
                <w:sz w:val="24"/>
                <w:szCs w:val="24"/>
              </w:rPr>
              <w:t>the savings identified</w:t>
            </w:r>
            <w:r w:rsidR="001C58C3" w:rsidRPr="00A56ED6">
              <w:rPr>
                <w:sz w:val="24"/>
                <w:szCs w:val="24"/>
              </w:rPr>
              <w:t xml:space="preserve"> </w:t>
            </w:r>
            <w:r w:rsidR="00A56ED6" w:rsidRPr="00A56ED6">
              <w:rPr>
                <w:sz w:val="24"/>
                <w:szCs w:val="24"/>
              </w:rPr>
              <w:t xml:space="preserve">in the Forecast </w:t>
            </w:r>
            <w:r w:rsidR="001C58C3" w:rsidRPr="00A56ED6">
              <w:rPr>
                <w:sz w:val="24"/>
                <w:szCs w:val="24"/>
              </w:rPr>
              <w:t>achieve</w:t>
            </w:r>
            <w:r w:rsidRPr="00A56ED6">
              <w:rPr>
                <w:sz w:val="24"/>
                <w:szCs w:val="24"/>
              </w:rPr>
              <w:t>d</w:t>
            </w:r>
            <w:r w:rsidR="001C58C3" w:rsidRPr="00A56ED6">
              <w:rPr>
                <w:sz w:val="24"/>
                <w:szCs w:val="24"/>
              </w:rPr>
              <w:t xml:space="preserve"> headroom</w:t>
            </w:r>
            <w:r w:rsidR="00A56ED6" w:rsidRPr="00A56ED6">
              <w:rPr>
                <w:sz w:val="24"/>
                <w:szCs w:val="24"/>
              </w:rPr>
              <w:t xml:space="preserve"> on </w:t>
            </w:r>
            <w:r w:rsidR="001C58C3" w:rsidRPr="00A56ED6">
              <w:rPr>
                <w:sz w:val="24"/>
                <w:szCs w:val="24"/>
              </w:rPr>
              <w:t>banking covenants</w:t>
            </w:r>
            <w:r w:rsidRPr="00A56ED6">
              <w:rPr>
                <w:sz w:val="24"/>
                <w:szCs w:val="24"/>
              </w:rPr>
              <w:t xml:space="preserve"> </w:t>
            </w:r>
            <w:r w:rsidR="00A56ED6" w:rsidRPr="00A56ED6">
              <w:rPr>
                <w:sz w:val="24"/>
                <w:szCs w:val="24"/>
              </w:rPr>
              <w:t xml:space="preserve">(notwithstanding the variables of the January and September 2024 recruitment performance) </w:t>
            </w:r>
            <w:r w:rsidRPr="00A56ED6">
              <w:rPr>
                <w:sz w:val="24"/>
                <w:szCs w:val="24"/>
              </w:rPr>
              <w:t xml:space="preserve">and the need for the University to move swiftly </w:t>
            </w:r>
            <w:r w:rsidR="00664891" w:rsidRPr="00A56ED6">
              <w:rPr>
                <w:sz w:val="24"/>
                <w:szCs w:val="24"/>
              </w:rPr>
              <w:t>and robustly</w:t>
            </w:r>
            <w:r w:rsidR="009C5BB5" w:rsidRPr="00A56ED6">
              <w:rPr>
                <w:sz w:val="24"/>
                <w:szCs w:val="24"/>
              </w:rPr>
              <w:t xml:space="preserve"> on</w:t>
            </w:r>
            <w:r w:rsidRPr="00A56ED6">
              <w:rPr>
                <w:sz w:val="24"/>
                <w:szCs w:val="24"/>
              </w:rPr>
              <w:t xml:space="preserve"> implementing these savings, </w:t>
            </w:r>
          </w:p>
          <w:p w14:paraId="591572FE" w14:textId="5E52D504" w:rsidR="00664891" w:rsidRPr="008B69EC" w:rsidRDefault="00A56ED6" w:rsidP="00E378E3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Following further detailed discussion, </w:t>
            </w:r>
            <w:r w:rsidRPr="00A56ED6">
              <w:rPr>
                <w:sz w:val="24"/>
                <w:szCs w:val="24"/>
              </w:rPr>
              <w:t>FEC</w:t>
            </w:r>
            <w:r w:rsidR="001C58C3" w:rsidRPr="00A56ED6">
              <w:rPr>
                <w:sz w:val="24"/>
                <w:szCs w:val="24"/>
              </w:rPr>
              <w:t xml:space="preserve"> </w:t>
            </w:r>
            <w:r w:rsidR="00CE415D" w:rsidRPr="00A56ED6">
              <w:rPr>
                <w:sz w:val="24"/>
                <w:szCs w:val="24"/>
              </w:rPr>
              <w:t>ag</w:t>
            </w:r>
            <w:r w:rsidR="00664891" w:rsidRPr="00A56ED6">
              <w:rPr>
                <w:sz w:val="24"/>
                <w:szCs w:val="24"/>
              </w:rPr>
              <w:t xml:space="preserve">reed that the </w:t>
            </w:r>
            <w:r w:rsidR="001C58C3" w:rsidRPr="00A56ED6">
              <w:rPr>
                <w:sz w:val="24"/>
                <w:szCs w:val="24"/>
              </w:rPr>
              <w:t>Financial Forecast as presented</w:t>
            </w:r>
            <w:r w:rsidR="00664891" w:rsidRPr="00A56ED6">
              <w:rPr>
                <w:sz w:val="24"/>
                <w:szCs w:val="24"/>
              </w:rPr>
              <w:t xml:space="preserve"> offered </w:t>
            </w:r>
            <w:r w:rsidR="001C58C3" w:rsidRPr="00A56ED6">
              <w:rPr>
                <w:sz w:val="24"/>
                <w:szCs w:val="24"/>
              </w:rPr>
              <w:t xml:space="preserve">a </w:t>
            </w:r>
            <w:r w:rsidR="00664891" w:rsidRPr="00A56ED6">
              <w:rPr>
                <w:sz w:val="24"/>
                <w:szCs w:val="24"/>
              </w:rPr>
              <w:t xml:space="preserve">credible </w:t>
            </w:r>
            <w:r w:rsidR="001C58C3" w:rsidRPr="00A56ED6">
              <w:rPr>
                <w:sz w:val="24"/>
                <w:szCs w:val="24"/>
              </w:rPr>
              <w:t>articulatio</w:t>
            </w:r>
            <w:r w:rsidR="00CE415D" w:rsidRPr="00A56ED6">
              <w:rPr>
                <w:sz w:val="24"/>
                <w:szCs w:val="24"/>
              </w:rPr>
              <w:t>n</w:t>
            </w:r>
            <w:r w:rsidR="001C58C3" w:rsidRPr="00A56ED6">
              <w:rPr>
                <w:sz w:val="24"/>
                <w:szCs w:val="24"/>
              </w:rPr>
              <w:t xml:space="preserve"> of the University’s</w:t>
            </w:r>
            <w:r w:rsidR="00664891" w:rsidRPr="00A56ED6">
              <w:rPr>
                <w:sz w:val="24"/>
                <w:szCs w:val="24"/>
              </w:rPr>
              <w:t xml:space="preserve"> </w:t>
            </w:r>
            <w:r w:rsidR="008B2BAE" w:rsidRPr="00A56ED6">
              <w:rPr>
                <w:sz w:val="24"/>
                <w:szCs w:val="24"/>
              </w:rPr>
              <w:t>long-term</w:t>
            </w:r>
            <w:r w:rsidR="00664891" w:rsidRPr="00A56ED6">
              <w:rPr>
                <w:sz w:val="24"/>
                <w:szCs w:val="24"/>
              </w:rPr>
              <w:t xml:space="preserve"> ambitions, whilst recognising the savings challenge and choices ahead. </w:t>
            </w:r>
          </w:p>
        </w:tc>
      </w:tr>
      <w:tr w:rsidR="000D02D5" w:rsidRPr="008A753B" w14:paraId="3EA4DB24" w14:textId="77777777" w:rsidTr="00BB1097">
        <w:tc>
          <w:tcPr>
            <w:tcW w:w="1560" w:type="dxa"/>
            <w:tcBorders>
              <w:top w:val="nil"/>
              <w:bottom w:val="nil"/>
            </w:tcBorders>
          </w:tcPr>
          <w:p w14:paraId="37CA701A" w14:textId="6F43169C" w:rsidR="000D02D5" w:rsidRPr="008A753B" w:rsidRDefault="00D400BA" w:rsidP="000D02D5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8.3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6C3B6BD6" w14:textId="48B2BCAA" w:rsidR="00336E27" w:rsidRPr="00B10438" w:rsidRDefault="0067003F" w:rsidP="003224D0">
            <w:pPr>
              <w:spacing w:before="60" w:after="60"/>
              <w:rPr>
                <w:sz w:val="24"/>
                <w:szCs w:val="24"/>
              </w:rPr>
            </w:pPr>
            <w:r w:rsidRPr="0067003F">
              <w:rPr>
                <w:b/>
                <w:bCs/>
                <w:sz w:val="24"/>
                <w:szCs w:val="24"/>
              </w:rPr>
              <w:t>Resolution</w:t>
            </w:r>
            <w:r w:rsidRPr="0067003F">
              <w:rPr>
                <w:sz w:val="24"/>
                <w:szCs w:val="24"/>
              </w:rPr>
              <w:t xml:space="preserve">: </w:t>
            </w:r>
            <w:r w:rsidRPr="0067003F">
              <w:rPr>
                <w:rFonts w:cstheme="minorHAnsi"/>
                <w:sz w:val="24"/>
                <w:szCs w:val="24"/>
              </w:rPr>
              <w:t xml:space="preserve">to </w:t>
            </w:r>
            <w:r w:rsidRPr="0067003F">
              <w:rPr>
                <w:rFonts w:cstheme="minorHAnsi"/>
                <w:b/>
                <w:bCs/>
                <w:sz w:val="24"/>
                <w:szCs w:val="24"/>
              </w:rPr>
              <w:t>recommend</w:t>
            </w:r>
            <w:r w:rsidRPr="0067003F">
              <w:rPr>
                <w:rFonts w:cstheme="minorHAnsi"/>
                <w:sz w:val="24"/>
                <w:szCs w:val="24"/>
              </w:rPr>
              <w:t xml:space="preserve"> the OfS Annual Financial Return and supporting commentary to the Board for </w:t>
            </w:r>
            <w:r w:rsidRPr="0067003F">
              <w:rPr>
                <w:rFonts w:cstheme="minorHAnsi"/>
                <w:b/>
                <w:bCs/>
                <w:sz w:val="24"/>
                <w:szCs w:val="24"/>
              </w:rPr>
              <w:t>approval</w:t>
            </w:r>
            <w:r w:rsidRPr="0067003F">
              <w:rPr>
                <w:rFonts w:cstheme="minorHAnsi"/>
                <w:sz w:val="24"/>
                <w:szCs w:val="24"/>
              </w:rPr>
              <w:t xml:space="preserve"> at its meeting on 28 November 2023.  </w:t>
            </w:r>
          </w:p>
        </w:tc>
      </w:tr>
      <w:tr w:rsidR="0067003F" w:rsidRPr="008A753B" w14:paraId="6224128D" w14:textId="77777777" w:rsidTr="0067003F">
        <w:tc>
          <w:tcPr>
            <w:tcW w:w="1560" w:type="dxa"/>
            <w:tcBorders>
              <w:top w:val="nil"/>
              <w:bottom w:val="nil"/>
            </w:tcBorders>
          </w:tcPr>
          <w:p w14:paraId="1470914D" w14:textId="1F9C9F35" w:rsidR="0067003F" w:rsidRDefault="0067003F" w:rsidP="000D02D5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14:paraId="7F625B16" w14:textId="06C9134B" w:rsidR="0067003F" w:rsidRPr="00FD530C" w:rsidRDefault="00FD530C" w:rsidP="00FD530C">
            <w:pPr>
              <w:spacing w:before="60"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672E0">
              <w:rPr>
                <w:b/>
                <w:bCs/>
                <w:color w:val="000000" w:themeColor="text1"/>
                <w:sz w:val="24"/>
                <w:szCs w:val="24"/>
              </w:rPr>
              <w:t>Students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’ </w:t>
            </w:r>
            <w:r w:rsidRPr="007672E0">
              <w:rPr>
                <w:b/>
                <w:bCs/>
                <w:color w:val="000000" w:themeColor="text1"/>
                <w:sz w:val="24"/>
                <w:szCs w:val="24"/>
              </w:rPr>
              <w:t>Union</w:t>
            </w:r>
            <w:r w:rsidR="000F3F9D">
              <w:rPr>
                <w:b/>
                <w:bCs/>
                <w:color w:val="000000" w:themeColor="text1"/>
                <w:sz w:val="24"/>
                <w:szCs w:val="24"/>
              </w:rPr>
              <w:t xml:space="preserve"> (SU)</w:t>
            </w:r>
            <w:r w:rsidRPr="007672E0">
              <w:rPr>
                <w:b/>
                <w:bCs/>
                <w:color w:val="000000" w:themeColor="text1"/>
                <w:sz w:val="24"/>
                <w:szCs w:val="24"/>
              </w:rPr>
              <w:t xml:space="preserve"> Financial Statements</w:t>
            </w:r>
            <w:r w:rsidRPr="00217FA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82E8A7" w14:textId="02703E47" w:rsidR="0067003F" w:rsidRPr="00FD530C" w:rsidRDefault="0067003F" w:rsidP="00FD530C">
            <w:pPr>
              <w:pStyle w:val="Heading3"/>
              <w:spacing w:before="60" w:after="60"/>
              <w:ind w:left="-113" w:right="-109"/>
              <w:jc w:val="right"/>
            </w:pPr>
            <w:r w:rsidRPr="0067003F">
              <w:t>FEC_2023_11_16_P5.</w:t>
            </w:r>
            <w:r>
              <w:t>2</w:t>
            </w:r>
          </w:p>
        </w:tc>
      </w:tr>
      <w:tr w:rsidR="0067003F" w:rsidRPr="008A753B" w14:paraId="4C9BA0B3" w14:textId="77777777" w:rsidTr="3A98BE57">
        <w:tc>
          <w:tcPr>
            <w:tcW w:w="1560" w:type="dxa"/>
            <w:tcBorders>
              <w:top w:val="nil"/>
              <w:bottom w:val="nil"/>
            </w:tcBorders>
          </w:tcPr>
          <w:p w14:paraId="39858A38" w14:textId="55C155B4" w:rsidR="0067003F" w:rsidRDefault="00D400BA" w:rsidP="000D02D5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53144B5A" w14:textId="735DD950" w:rsidR="0067003F" w:rsidRDefault="000F3F9D" w:rsidP="00FD530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considered the </w:t>
            </w:r>
            <w:r w:rsidR="00664891">
              <w:rPr>
                <w:sz w:val="24"/>
                <w:szCs w:val="24"/>
              </w:rPr>
              <w:t xml:space="preserve">SU Financial Statements </w:t>
            </w:r>
            <w:r w:rsidR="00D400BA">
              <w:rPr>
                <w:sz w:val="24"/>
                <w:szCs w:val="24"/>
              </w:rPr>
              <w:t>for onward presentation to the Board of Governors</w:t>
            </w:r>
            <w:r w:rsidR="00844371">
              <w:rPr>
                <w:sz w:val="24"/>
                <w:szCs w:val="24"/>
              </w:rPr>
              <w:t xml:space="preserve"> at its meeting on 28 November.</w:t>
            </w:r>
          </w:p>
        </w:tc>
      </w:tr>
      <w:tr w:rsidR="00FD530C" w:rsidRPr="008A753B" w14:paraId="183FBA41" w14:textId="77777777" w:rsidTr="00C11F99">
        <w:tc>
          <w:tcPr>
            <w:tcW w:w="1560" w:type="dxa"/>
            <w:tcBorders>
              <w:top w:val="nil"/>
              <w:bottom w:val="nil"/>
            </w:tcBorders>
          </w:tcPr>
          <w:p w14:paraId="6D0798F2" w14:textId="77777777" w:rsidR="00FD530C" w:rsidRDefault="00FD530C" w:rsidP="00C11F99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14:paraId="57836FE7" w14:textId="0BC86F8F" w:rsidR="00FD530C" w:rsidRPr="00FD530C" w:rsidRDefault="00FD530C" w:rsidP="00C11F99">
            <w:pPr>
              <w:spacing w:before="60"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Orders and Contracts above Threshold</w:t>
            </w:r>
            <w:r w:rsidRPr="00217FA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68D1A6" w14:textId="13A140ED" w:rsidR="00FD530C" w:rsidRPr="00FD530C" w:rsidRDefault="00FD530C" w:rsidP="00C11F99">
            <w:pPr>
              <w:pStyle w:val="Heading3"/>
              <w:spacing w:before="60" w:after="60"/>
              <w:ind w:left="-113" w:right="-109"/>
              <w:jc w:val="right"/>
            </w:pPr>
            <w:r w:rsidRPr="0067003F">
              <w:t>FEC_2023_11_16_P5.</w:t>
            </w:r>
            <w:r>
              <w:t>3</w:t>
            </w:r>
          </w:p>
        </w:tc>
      </w:tr>
      <w:tr w:rsidR="00197581" w:rsidRPr="008A753B" w14:paraId="52834B07" w14:textId="77777777" w:rsidTr="00C11F99">
        <w:tc>
          <w:tcPr>
            <w:tcW w:w="1560" w:type="dxa"/>
            <w:tcBorders>
              <w:top w:val="nil"/>
              <w:bottom w:val="nil"/>
            </w:tcBorders>
          </w:tcPr>
          <w:p w14:paraId="5FD90722" w14:textId="65E2D3F7" w:rsidR="00197581" w:rsidRDefault="00D400BA" w:rsidP="00197581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23F3940C" w14:textId="6ABD57C8" w:rsidR="00197581" w:rsidRPr="009A217B" w:rsidRDefault="009A217B" w:rsidP="009A217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</w:t>
            </w:r>
            <w:r w:rsidR="00197581" w:rsidRPr="008A33FD">
              <w:rPr>
                <w:sz w:val="24"/>
                <w:szCs w:val="24"/>
              </w:rPr>
              <w:t xml:space="preserve"> noted the </w:t>
            </w:r>
            <w:r>
              <w:rPr>
                <w:sz w:val="24"/>
                <w:szCs w:val="24"/>
              </w:rPr>
              <w:t>contract</w:t>
            </w:r>
            <w:r w:rsidR="00197581" w:rsidRPr="008A33FD">
              <w:rPr>
                <w:sz w:val="24"/>
                <w:szCs w:val="24"/>
              </w:rPr>
              <w:t xml:space="preserve"> awards over threshold</w:t>
            </w:r>
            <w:r>
              <w:rPr>
                <w:sz w:val="24"/>
                <w:szCs w:val="24"/>
              </w:rPr>
              <w:t xml:space="preserve"> since the previous meeting and </w:t>
            </w:r>
            <w:r w:rsidRPr="009A217B">
              <w:rPr>
                <w:b/>
                <w:bCs/>
                <w:sz w:val="24"/>
                <w:szCs w:val="24"/>
              </w:rPr>
              <w:t>resolved</w:t>
            </w:r>
            <w:r>
              <w:rPr>
                <w:sz w:val="24"/>
                <w:szCs w:val="24"/>
              </w:rPr>
              <w:t xml:space="preserve"> to </w:t>
            </w:r>
            <w:r w:rsidRPr="009A217B">
              <w:rPr>
                <w:b/>
                <w:bCs/>
                <w:sz w:val="24"/>
                <w:szCs w:val="24"/>
              </w:rPr>
              <w:t>approve</w:t>
            </w:r>
            <w:r>
              <w:rPr>
                <w:sz w:val="24"/>
                <w:szCs w:val="24"/>
              </w:rPr>
              <w:t xml:space="preserve"> </w:t>
            </w:r>
            <w:r w:rsidRPr="00C4635F">
              <w:rPr>
                <w:sz w:val="24"/>
              </w:rPr>
              <w:t xml:space="preserve">the </w:t>
            </w:r>
            <w:r>
              <w:rPr>
                <w:sz w:val="24"/>
              </w:rPr>
              <w:t xml:space="preserve">release of an open tender for </w:t>
            </w:r>
            <w:r w:rsidRPr="00C4635F">
              <w:rPr>
                <w:sz w:val="24"/>
              </w:rPr>
              <w:t xml:space="preserve">Legal Services </w:t>
            </w:r>
            <w:r>
              <w:rPr>
                <w:sz w:val="24"/>
              </w:rPr>
              <w:t>with an estimated value of up to £2m</w:t>
            </w:r>
            <w:r w:rsidRPr="00C4635F">
              <w:rPr>
                <w:sz w:val="24"/>
              </w:rPr>
              <w:t xml:space="preserve"> </w:t>
            </w:r>
            <w:r>
              <w:rPr>
                <w:sz w:val="24"/>
              </w:rPr>
              <w:t>(the combined value across five Lots).</w:t>
            </w:r>
          </w:p>
        </w:tc>
      </w:tr>
      <w:tr w:rsidR="00406A92" w:rsidRPr="008A753B" w14:paraId="42E8C3FC" w14:textId="77777777" w:rsidTr="3A98BE5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DA630C" w14:textId="5A7F938D" w:rsidR="00406A92" w:rsidRPr="008A753B" w:rsidRDefault="00406A92" w:rsidP="00406A92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FEC_2023_11_16_9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166C7E" w14:textId="118BF371" w:rsidR="00406A92" w:rsidRPr="008A753B" w:rsidRDefault="00406A92" w:rsidP="00406A92">
            <w:pPr>
              <w:pStyle w:val="Heading2"/>
            </w:pPr>
            <w:r>
              <w:rPr>
                <w:bCs/>
                <w:szCs w:val="24"/>
              </w:rPr>
              <w:t>2023/24 SEVERANCE SCHEMES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4D1343" w14:textId="6F1B11CC" w:rsidR="00406A92" w:rsidRPr="00627D42" w:rsidRDefault="00406A92" w:rsidP="00406A92">
            <w:pPr>
              <w:pStyle w:val="Heading3"/>
              <w:spacing w:before="60" w:after="60"/>
              <w:ind w:left="-113" w:right="-110"/>
              <w:jc w:val="right"/>
            </w:pPr>
            <w:r>
              <w:t>FEC_2023_11_16_P9</w:t>
            </w:r>
          </w:p>
        </w:tc>
      </w:tr>
      <w:tr w:rsidR="00406A92" w:rsidRPr="008A753B" w14:paraId="65C1101B" w14:textId="77777777" w:rsidTr="3A98BE57">
        <w:tc>
          <w:tcPr>
            <w:tcW w:w="1560" w:type="dxa"/>
            <w:tcBorders>
              <w:top w:val="single" w:sz="4" w:space="0" w:color="auto"/>
            </w:tcBorders>
          </w:tcPr>
          <w:p w14:paraId="76B381CC" w14:textId="656C395E" w:rsidR="00406A92" w:rsidRPr="008A753B" w:rsidRDefault="00406A92" w:rsidP="00406A92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5F87547C" w14:textId="363B05F8" w:rsidR="00984E0D" w:rsidRPr="00C524FA" w:rsidRDefault="009A217B" w:rsidP="00984E0D">
            <w:pPr>
              <w:spacing w:before="60" w:after="60"/>
            </w:pPr>
            <w:r w:rsidRPr="00C524FA">
              <w:rPr>
                <w:sz w:val="24"/>
                <w:szCs w:val="24"/>
              </w:rPr>
              <w:t>It was noted that</w:t>
            </w:r>
            <w:r w:rsidR="00DC000D" w:rsidRPr="00C524FA">
              <w:rPr>
                <w:sz w:val="24"/>
                <w:szCs w:val="24"/>
              </w:rPr>
              <w:t xml:space="preserve"> UEB ha</w:t>
            </w:r>
            <w:r w:rsidRPr="00C524FA">
              <w:rPr>
                <w:sz w:val="24"/>
                <w:szCs w:val="24"/>
              </w:rPr>
              <w:t>d</w:t>
            </w:r>
            <w:r w:rsidR="00DC000D" w:rsidRPr="00C524FA">
              <w:rPr>
                <w:sz w:val="24"/>
                <w:szCs w:val="24"/>
              </w:rPr>
              <w:t xml:space="preserve"> approved </w:t>
            </w:r>
            <w:r w:rsidRPr="00C524FA">
              <w:rPr>
                <w:sz w:val="24"/>
                <w:szCs w:val="24"/>
              </w:rPr>
              <w:t xml:space="preserve">a </w:t>
            </w:r>
            <w:r w:rsidR="00984E0D" w:rsidRPr="00C524FA">
              <w:rPr>
                <w:sz w:val="24"/>
                <w:szCs w:val="24"/>
              </w:rPr>
              <w:t>targeted voluntary severance scheme (VSS) within the College of Business, Technology and Engineering (BTE)</w:t>
            </w:r>
            <w:r w:rsidRPr="00C524FA">
              <w:rPr>
                <w:sz w:val="24"/>
                <w:szCs w:val="24"/>
              </w:rPr>
              <w:t xml:space="preserve"> </w:t>
            </w:r>
            <w:r w:rsidR="00325465" w:rsidRPr="00C524FA">
              <w:rPr>
                <w:sz w:val="24"/>
                <w:szCs w:val="24"/>
              </w:rPr>
              <w:t xml:space="preserve">with effect from November 2023 </w:t>
            </w:r>
            <w:r w:rsidRPr="00C524FA">
              <w:rPr>
                <w:sz w:val="24"/>
                <w:szCs w:val="24"/>
              </w:rPr>
              <w:t>and a</w:t>
            </w:r>
            <w:r w:rsidR="00984E0D" w:rsidRPr="00C524FA">
              <w:rPr>
                <w:sz w:val="24"/>
                <w:szCs w:val="24"/>
              </w:rPr>
              <w:t xml:space="preserve"> second VSS</w:t>
            </w:r>
            <w:r w:rsidRPr="00C524FA">
              <w:rPr>
                <w:sz w:val="24"/>
                <w:szCs w:val="24"/>
              </w:rPr>
              <w:t xml:space="preserve">, </w:t>
            </w:r>
            <w:r w:rsidR="00984E0D" w:rsidRPr="00C524FA">
              <w:rPr>
                <w:sz w:val="24"/>
                <w:szCs w:val="24"/>
              </w:rPr>
              <w:t>to commence in January 2024</w:t>
            </w:r>
            <w:r w:rsidRPr="00C524FA">
              <w:rPr>
                <w:sz w:val="24"/>
                <w:szCs w:val="24"/>
              </w:rPr>
              <w:t xml:space="preserve">, </w:t>
            </w:r>
            <w:r w:rsidR="00984E0D" w:rsidRPr="00C524FA">
              <w:rPr>
                <w:sz w:val="24"/>
                <w:szCs w:val="24"/>
              </w:rPr>
              <w:t>across all academic areas (teaching and research)</w:t>
            </w:r>
            <w:r w:rsidRPr="00C524FA">
              <w:rPr>
                <w:sz w:val="24"/>
                <w:szCs w:val="24"/>
              </w:rPr>
              <w:t xml:space="preserve"> as a means of achieving further staff cost savings. </w:t>
            </w:r>
            <w:r w:rsidR="00325465" w:rsidRPr="00C524FA">
              <w:rPr>
                <w:sz w:val="24"/>
                <w:szCs w:val="24"/>
              </w:rPr>
              <w:t>An</w:t>
            </w:r>
            <w:r w:rsidRPr="00C524FA">
              <w:rPr>
                <w:sz w:val="24"/>
                <w:szCs w:val="24"/>
              </w:rPr>
              <w:t xml:space="preserve"> increase </w:t>
            </w:r>
            <w:r w:rsidR="00325465" w:rsidRPr="00C524FA">
              <w:rPr>
                <w:sz w:val="24"/>
                <w:szCs w:val="24"/>
              </w:rPr>
              <w:t xml:space="preserve">in </w:t>
            </w:r>
            <w:r w:rsidRPr="00C524FA">
              <w:rPr>
                <w:sz w:val="24"/>
                <w:szCs w:val="24"/>
              </w:rPr>
              <w:t xml:space="preserve">the number of months’ pay offered from eight to ten would be offered to enhance the attractiveness of the schemes. </w:t>
            </w:r>
          </w:p>
        </w:tc>
      </w:tr>
      <w:tr w:rsidR="00406A92" w:rsidRPr="008A753B" w14:paraId="31F685BF" w14:textId="77777777" w:rsidTr="0031081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51FF5B" w14:textId="56834789" w:rsidR="00406A92" w:rsidRPr="008A753B" w:rsidRDefault="00406A92" w:rsidP="00406A92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bookmarkStart w:id="7" w:name="_Hlk146804242"/>
            <w:bookmarkStart w:id="8" w:name="_Hlk133261668"/>
            <w:bookmarkStart w:id="9" w:name="_Hlk146804200"/>
            <w:r>
              <w:t>FEC_2023_11_16_10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BE4822" w14:textId="14360B5C" w:rsidR="00406A92" w:rsidRPr="00BB1097" w:rsidRDefault="00406A92" w:rsidP="00406A92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ESTATES DEVELOPMENT REPORT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E226C7" w14:textId="3D6A1FDC" w:rsidR="00406A92" w:rsidRPr="00627D42" w:rsidRDefault="00406A92" w:rsidP="00406A92">
            <w:pPr>
              <w:pStyle w:val="Heading3"/>
              <w:spacing w:before="60" w:after="60"/>
              <w:ind w:left="-113" w:right="-110"/>
              <w:jc w:val="right"/>
            </w:pPr>
            <w:r>
              <w:t>FEC_2023_11_16_P10</w:t>
            </w:r>
          </w:p>
        </w:tc>
      </w:tr>
      <w:tr w:rsidR="00406A92" w:rsidRPr="008A753B" w14:paraId="20A2BDB2" w14:textId="77777777" w:rsidTr="00310819">
        <w:tc>
          <w:tcPr>
            <w:tcW w:w="1560" w:type="dxa"/>
            <w:tcBorders>
              <w:top w:val="single" w:sz="4" w:space="0" w:color="auto"/>
            </w:tcBorders>
          </w:tcPr>
          <w:p w14:paraId="5975C7FA" w14:textId="77777777" w:rsidR="00406A92" w:rsidRPr="008A753B" w:rsidRDefault="00406A92" w:rsidP="00406A92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1685A8A0" w14:textId="29CC7220" w:rsidR="00406A92" w:rsidRPr="0014141B" w:rsidRDefault="00DC000D" w:rsidP="00406A9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received an update on estates developments since the previous meeting, together with the bi-annual update on the Hallam Alliance Framework</w:t>
            </w:r>
            <w:r w:rsidR="00BA6C35">
              <w:rPr>
                <w:sz w:val="24"/>
                <w:szCs w:val="24"/>
              </w:rPr>
              <w:t>.</w:t>
            </w:r>
          </w:p>
        </w:tc>
      </w:tr>
      <w:tr w:rsidR="00406A92" w:rsidRPr="008A753B" w14:paraId="56DB424D" w14:textId="77777777" w:rsidTr="009A217B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C9FB8D" w14:textId="79CB115B" w:rsidR="00406A92" w:rsidRPr="008A753B" w:rsidRDefault="00406A92" w:rsidP="00406A92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FEC_2023_11_16_11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C45A3E" w14:textId="7020F173" w:rsidR="00406A92" w:rsidRPr="00BB1097" w:rsidRDefault="00406A92" w:rsidP="00406A92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ANNUAL DONATIONS REPORT AND REGISTER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C6D4B7" w14:textId="1F391706" w:rsidR="00406A92" w:rsidRPr="00627D42" w:rsidRDefault="00406A92" w:rsidP="00406A92">
            <w:pPr>
              <w:pStyle w:val="Heading3"/>
              <w:spacing w:before="60" w:after="60"/>
              <w:ind w:left="-113" w:right="-110"/>
              <w:jc w:val="right"/>
            </w:pPr>
            <w:r>
              <w:t>FEC_2023_11_16_P11</w:t>
            </w:r>
          </w:p>
        </w:tc>
      </w:tr>
      <w:tr w:rsidR="00406A92" w:rsidRPr="008A753B" w14:paraId="13363982" w14:textId="77777777" w:rsidTr="009A217B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48B6B4D" w14:textId="7730DBE1" w:rsidR="00406A92" w:rsidRPr="008A753B" w:rsidRDefault="00406A92" w:rsidP="00406A92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nil"/>
            </w:tcBorders>
          </w:tcPr>
          <w:p w14:paraId="247F79DD" w14:textId="3A32EA1F" w:rsidR="00EB0632" w:rsidRDefault="009A217B" w:rsidP="00EB063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 r</w:t>
            </w:r>
            <w:r w:rsidR="00325465">
              <w:rPr>
                <w:sz w:val="24"/>
                <w:szCs w:val="24"/>
              </w:rPr>
              <w:t>eviewed</w:t>
            </w:r>
            <w:r>
              <w:rPr>
                <w:sz w:val="24"/>
                <w:szCs w:val="24"/>
              </w:rPr>
              <w:t xml:space="preserve"> the annual report</w:t>
            </w:r>
            <w:r w:rsidR="00DC000D">
              <w:rPr>
                <w:sz w:val="24"/>
                <w:szCs w:val="24"/>
              </w:rPr>
              <w:t xml:space="preserve"> from the</w:t>
            </w:r>
            <w:r w:rsidR="00993FAC" w:rsidRPr="00390108">
              <w:rPr>
                <w:sz w:val="24"/>
                <w:szCs w:val="24"/>
              </w:rPr>
              <w:t xml:space="preserve"> Development </w:t>
            </w:r>
            <w:r>
              <w:rPr>
                <w:sz w:val="24"/>
                <w:szCs w:val="24"/>
              </w:rPr>
              <w:t>and</w:t>
            </w:r>
            <w:r w:rsidR="00993FAC" w:rsidRPr="00390108">
              <w:rPr>
                <w:sz w:val="24"/>
                <w:szCs w:val="24"/>
              </w:rPr>
              <w:t xml:space="preserve"> Alumni Relations Office</w:t>
            </w:r>
            <w:r w:rsidR="00993FAC">
              <w:rPr>
                <w:sz w:val="24"/>
                <w:szCs w:val="24"/>
              </w:rPr>
              <w:t xml:space="preserve"> (DARO)</w:t>
            </w:r>
            <w:r>
              <w:rPr>
                <w:sz w:val="24"/>
                <w:szCs w:val="24"/>
              </w:rPr>
              <w:t xml:space="preserve"> </w:t>
            </w:r>
            <w:r w:rsidR="00325465">
              <w:rPr>
                <w:sz w:val="24"/>
                <w:szCs w:val="24"/>
              </w:rPr>
              <w:t xml:space="preserve">with </w:t>
            </w:r>
            <w:proofErr w:type="gramStart"/>
            <w:r w:rsidR="00325465">
              <w:rPr>
                <w:sz w:val="24"/>
                <w:szCs w:val="24"/>
              </w:rPr>
              <w:t>particular reference</w:t>
            </w:r>
            <w:proofErr w:type="gramEnd"/>
            <w:r w:rsidR="00325465">
              <w:rPr>
                <w:sz w:val="24"/>
                <w:szCs w:val="24"/>
              </w:rPr>
              <w:t xml:space="preserve"> to</w:t>
            </w:r>
            <w:r w:rsidR="00DC000D">
              <w:rPr>
                <w:sz w:val="24"/>
                <w:szCs w:val="24"/>
              </w:rPr>
              <w:t xml:space="preserve"> </w:t>
            </w:r>
            <w:r w:rsidR="00DC000D" w:rsidRPr="009A217B">
              <w:rPr>
                <w:sz w:val="24"/>
                <w:szCs w:val="24"/>
              </w:rPr>
              <w:t>the Donation</w:t>
            </w:r>
            <w:r w:rsidR="00325465">
              <w:rPr>
                <w:sz w:val="24"/>
                <w:szCs w:val="24"/>
              </w:rPr>
              <w:t>s</w:t>
            </w:r>
            <w:r w:rsidR="00DC000D" w:rsidRPr="009A217B">
              <w:rPr>
                <w:sz w:val="24"/>
                <w:szCs w:val="24"/>
              </w:rPr>
              <w:t xml:space="preserve"> Register in line with FEC’s oversight</w:t>
            </w:r>
            <w:r w:rsidRPr="009A217B">
              <w:rPr>
                <w:sz w:val="24"/>
                <w:szCs w:val="24"/>
              </w:rPr>
              <w:t xml:space="preserve"> of the University’s </w:t>
            </w:r>
            <w:r w:rsidR="00502296" w:rsidRPr="009A217B">
              <w:rPr>
                <w:sz w:val="24"/>
                <w:szCs w:val="24"/>
              </w:rPr>
              <w:t xml:space="preserve">decision-making processes </w:t>
            </w:r>
            <w:r w:rsidRPr="009A217B">
              <w:rPr>
                <w:sz w:val="24"/>
                <w:szCs w:val="24"/>
              </w:rPr>
              <w:t xml:space="preserve">and due diligence around donations. </w:t>
            </w:r>
          </w:p>
          <w:p w14:paraId="63A02EF4" w14:textId="45C7F105" w:rsidR="00DC000D" w:rsidRPr="003B54EA" w:rsidRDefault="00EB0632" w:rsidP="00EB063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benefits of the DARO team </w:t>
            </w:r>
            <w:r w:rsidR="00325465">
              <w:rPr>
                <w:sz w:val="24"/>
                <w:szCs w:val="24"/>
              </w:rPr>
              <w:t>over and above</w:t>
            </w:r>
            <w:r>
              <w:rPr>
                <w:sz w:val="24"/>
                <w:szCs w:val="24"/>
              </w:rPr>
              <w:t xml:space="preserve"> the management of donation income were noted including liaison with alumni on placements and other student initiatives, such as mentoring, related to student outcomes. The benefits of receiving a more detailed annual report on DARO activity were mooted, and the University Secretary suggested that a briefing for the Board would be more appropriate since FEC’s remit </w:t>
            </w:r>
            <w:r w:rsidR="00325465">
              <w:rPr>
                <w:sz w:val="24"/>
                <w:szCs w:val="24"/>
              </w:rPr>
              <w:t>related</w:t>
            </w:r>
            <w:r>
              <w:rPr>
                <w:sz w:val="24"/>
                <w:szCs w:val="24"/>
              </w:rPr>
              <w:t xml:space="preserve"> more specific</w:t>
            </w:r>
            <w:r w:rsidR="00325465">
              <w:rPr>
                <w:sz w:val="24"/>
                <w:szCs w:val="24"/>
              </w:rPr>
              <w:t>ally</w:t>
            </w:r>
            <w:r>
              <w:rPr>
                <w:sz w:val="24"/>
                <w:szCs w:val="24"/>
              </w:rPr>
              <w:t xml:space="preserve"> to the Donations Register.</w:t>
            </w:r>
          </w:p>
        </w:tc>
      </w:tr>
      <w:tr w:rsidR="009A217B" w:rsidRPr="008A753B" w14:paraId="5CEFADC9" w14:textId="77777777" w:rsidTr="009A217B">
        <w:tc>
          <w:tcPr>
            <w:tcW w:w="1560" w:type="dxa"/>
            <w:tcBorders>
              <w:top w:val="nil"/>
              <w:bottom w:val="nil"/>
            </w:tcBorders>
          </w:tcPr>
          <w:p w14:paraId="13365EBA" w14:textId="77777777" w:rsidR="009A217B" w:rsidRDefault="009A217B" w:rsidP="00406A92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27DCCEA1" w14:textId="542EFD1A" w:rsidR="009A217B" w:rsidRPr="00EB0632" w:rsidRDefault="009A217B" w:rsidP="00EB063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EB0632">
              <w:rPr>
                <w:b/>
                <w:bCs/>
                <w:sz w:val="24"/>
                <w:szCs w:val="24"/>
              </w:rPr>
              <w:t>Action: University Secretary to arrange a briefing for the Board</w:t>
            </w:r>
            <w:r w:rsidR="00325465">
              <w:rPr>
                <w:b/>
                <w:bCs/>
                <w:sz w:val="24"/>
                <w:szCs w:val="24"/>
              </w:rPr>
              <w:t xml:space="preserve"> on DARO activity.</w:t>
            </w:r>
          </w:p>
        </w:tc>
      </w:tr>
      <w:bookmarkEnd w:id="7"/>
      <w:tr w:rsidR="00406A92" w:rsidRPr="008A753B" w14:paraId="43924A4B" w14:textId="77777777" w:rsidTr="009A217B"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DE1640A" w14:textId="4B68EB5A" w:rsidR="00406A92" w:rsidRPr="008A753B" w:rsidRDefault="00406A92" w:rsidP="00406A92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lastRenderedPageBreak/>
              <w:t>FEC_2023_11_16_12</w:t>
            </w: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AC79E1D" w14:textId="47F907FE" w:rsidR="00406A92" w:rsidRPr="00A51EAB" w:rsidRDefault="00406A92" w:rsidP="00406A92">
            <w:pPr>
              <w:spacing w:before="60"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80283">
              <w:rPr>
                <w:b/>
                <w:bCs/>
                <w:color w:val="000000" w:themeColor="text1"/>
                <w:sz w:val="24"/>
                <w:szCs w:val="24"/>
              </w:rPr>
              <w:t>SU FINANCIAL MONITORING REPORT INCLUDING THE LATEST REVIEW OF SU KPI PERFORMANCE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7098723" w14:textId="5C6D1968" w:rsidR="00406A92" w:rsidRPr="00627D42" w:rsidRDefault="00406A92" w:rsidP="00406A92">
            <w:pPr>
              <w:pStyle w:val="Heading3"/>
              <w:spacing w:before="60" w:after="60"/>
              <w:ind w:left="-113" w:right="-110"/>
              <w:jc w:val="right"/>
            </w:pPr>
            <w:r>
              <w:t>FEC_2023_11_16_P12</w:t>
            </w:r>
          </w:p>
        </w:tc>
      </w:tr>
      <w:tr w:rsidR="00406A92" w:rsidRPr="008A753B" w14:paraId="72F6D633" w14:textId="77777777" w:rsidTr="00310819">
        <w:tc>
          <w:tcPr>
            <w:tcW w:w="1560" w:type="dxa"/>
            <w:tcBorders>
              <w:top w:val="single" w:sz="4" w:space="0" w:color="auto"/>
            </w:tcBorders>
          </w:tcPr>
          <w:p w14:paraId="5E38ED65" w14:textId="72C3BDD0" w:rsidR="00406A92" w:rsidRPr="008A753B" w:rsidRDefault="00406A92" w:rsidP="00406A92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48F826D7" w14:textId="5EDF29BF" w:rsidR="00406A92" w:rsidRPr="00406A92" w:rsidRDefault="00634829" w:rsidP="00993FAC">
            <w:pPr>
              <w:spacing w:before="60" w:after="60"/>
              <w:rPr>
                <w:sz w:val="24"/>
                <w:szCs w:val="24"/>
              </w:rPr>
            </w:pPr>
            <w:r w:rsidRPr="00993FAC">
              <w:rPr>
                <w:sz w:val="24"/>
                <w:szCs w:val="24"/>
              </w:rPr>
              <w:t xml:space="preserve">FEC </w:t>
            </w:r>
            <w:r w:rsidR="009A217B">
              <w:rPr>
                <w:sz w:val="24"/>
                <w:szCs w:val="24"/>
              </w:rPr>
              <w:t>noted</w:t>
            </w:r>
            <w:r w:rsidRPr="00993FAC">
              <w:rPr>
                <w:sz w:val="24"/>
                <w:szCs w:val="24"/>
              </w:rPr>
              <w:t xml:space="preserve"> an update </w:t>
            </w:r>
            <w:r w:rsidR="00993FAC" w:rsidRPr="00993FAC">
              <w:rPr>
                <w:sz w:val="24"/>
                <w:szCs w:val="24"/>
              </w:rPr>
              <w:t>on the Students' Union (SU)</w:t>
            </w:r>
            <w:r w:rsidR="00993FAC">
              <w:rPr>
                <w:sz w:val="24"/>
                <w:szCs w:val="24"/>
              </w:rPr>
              <w:t xml:space="preserve"> fin</w:t>
            </w:r>
            <w:r w:rsidR="00993FAC" w:rsidRPr="00993FAC">
              <w:rPr>
                <w:sz w:val="24"/>
                <w:szCs w:val="24"/>
              </w:rPr>
              <w:t>a</w:t>
            </w:r>
            <w:r w:rsidR="00993FAC">
              <w:rPr>
                <w:sz w:val="24"/>
                <w:szCs w:val="24"/>
              </w:rPr>
              <w:t>ncial position</w:t>
            </w:r>
            <w:r w:rsidR="00993FAC" w:rsidRPr="00993FAC">
              <w:rPr>
                <w:sz w:val="24"/>
                <w:szCs w:val="24"/>
              </w:rPr>
              <w:t xml:space="preserve"> </w:t>
            </w:r>
            <w:r w:rsidR="00993FAC">
              <w:rPr>
                <w:sz w:val="24"/>
                <w:szCs w:val="24"/>
              </w:rPr>
              <w:t xml:space="preserve">as </w:t>
            </w:r>
            <w:r w:rsidR="00993FAC" w:rsidRPr="00993FAC">
              <w:rPr>
                <w:sz w:val="24"/>
                <w:szCs w:val="24"/>
              </w:rPr>
              <w:t>at end October 2023</w:t>
            </w:r>
            <w:r w:rsidR="00993FAC">
              <w:rPr>
                <w:sz w:val="24"/>
                <w:szCs w:val="24"/>
              </w:rPr>
              <w:t>,</w:t>
            </w:r>
            <w:r w:rsidR="00993FAC" w:rsidRPr="00993FAC">
              <w:rPr>
                <w:sz w:val="24"/>
                <w:szCs w:val="24"/>
              </w:rPr>
              <w:t xml:space="preserve"> together with the latest review of </w:t>
            </w:r>
            <w:r w:rsidR="00993FAC">
              <w:rPr>
                <w:sz w:val="24"/>
                <w:szCs w:val="24"/>
              </w:rPr>
              <w:t xml:space="preserve">its KPI </w:t>
            </w:r>
            <w:r w:rsidR="00993FAC" w:rsidRPr="00993FAC">
              <w:rPr>
                <w:sz w:val="24"/>
                <w:szCs w:val="24"/>
              </w:rPr>
              <w:t>performance</w:t>
            </w:r>
            <w:r w:rsidR="00993FAC">
              <w:rPr>
                <w:sz w:val="24"/>
                <w:szCs w:val="24"/>
              </w:rPr>
              <w:t>.</w:t>
            </w:r>
          </w:p>
        </w:tc>
      </w:tr>
      <w:bookmarkEnd w:id="8"/>
      <w:bookmarkEnd w:id="9"/>
      <w:tr w:rsidR="00406A92" w:rsidRPr="008A753B" w14:paraId="0E977793" w14:textId="77777777" w:rsidTr="3A98BE5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126510" w14:textId="0CF3BB41" w:rsidR="00406A92" w:rsidRPr="008A753B" w:rsidRDefault="00406A92" w:rsidP="00406A92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FEC_2023_11_16_13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BC0E54" w14:textId="4F1FF248" w:rsidR="00406A92" w:rsidRPr="00BB1097" w:rsidRDefault="00406A92" w:rsidP="00406A92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21033D">
              <w:rPr>
                <w:rFonts w:ascii="Calibri" w:eastAsiaTheme="majorEastAsia" w:hAnsi="Calibri" w:cstheme="majorBidi"/>
                <w:b/>
                <w:bCs/>
                <w:color w:val="000000" w:themeColor="text1"/>
                <w:sz w:val="24"/>
                <w:szCs w:val="24"/>
              </w:rPr>
              <w:t>INVESTMENTS SUMMARY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7E5534" w14:textId="69477A11" w:rsidR="00406A92" w:rsidRPr="00627D42" w:rsidRDefault="00406A92" w:rsidP="00406A92">
            <w:pPr>
              <w:pStyle w:val="Heading3"/>
              <w:spacing w:before="60" w:after="60"/>
              <w:ind w:left="-113" w:right="-110"/>
              <w:jc w:val="right"/>
            </w:pPr>
            <w:r>
              <w:t>FEC_2023_11_16_P13</w:t>
            </w:r>
          </w:p>
        </w:tc>
      </w:tr>
      <w:tr w:rsidR="00406A92" w:rsidRPr="008A753B" w14:paraId="757C0333" w14:textId="77777777" w:rsidTr="3A98BE57">
        <w:tc>
          <w:tcPr>
            <w:tcW w:w="1560" w:type="dxa"/>
            <w:tcBorders>
              <w:top w:val="single" w:sz="4" w:space="0" w:color="auto"/>
            </w:tcBorders>
          </w:tcPr>
          <w:p w14:paraId="63D2EC83" w14:textId="440EFE86" w:rsidR="00406A92" w:rsidRPr="008A753B" w:rsidRDefault="00406A92" w:rsidP="00406A92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2DC83A94" w14:textId="64389925" w:rsidR="00406A92" w:rsidRPr="003B54EA" w:rsidRDefault="00406A92" w:rsidP="00406A9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</w:t>
            </w:r>
            <w:r w:rsidRPr="00A74B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noted</w:t>
            </w:r>
            <w:r w:rsidRPr="00A74B87">
              <w:rPr>
                <w:sz w:val="24"/>
                <w:szCs w:val="24"/>
              </w:rPr>
              <w:t xml:space="preserve"> the cash investment summary</w:t>
            </w:r>
            <w:r>
              <w:rPr>
                <w:sz w:val="24"/>
                <w:szCs w:val="24"/>
              </w:rPr>
              <w:t>.</w:t>
            </w:r>
          </w:p>
        </w:tc>
      </w:tr>
      <w:tr w:rsidR="00406A92" w:rsidRPr="008A753B" w14:paraId="7A14FCFD" w14:textId="77777777" w:rsidTr="3A98BE5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72CBF1" w14:textId="1D31DE89" w:rsidR="00406A92" w:rsidRPr="008A753B" w:rsidRDefault="00406A92" w:rsidP="00406A92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FEC_2023_11_16_14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06AA54" w14:textId="3F3B3F9D" w:rsidR="00406A92" w:rsidRPr="008A753B" w:rsidRDefault="00406A92" w:rsidP="00406A92">
            <w:pPr>
              <w:pStyle w:val="Heading2"/>
            </w:pPr>
            <w:r>
              <w:t>ANNUAL CYCLE OF BUSINESS 2023/24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120D2" w14:textId="311C1389" w:rsidR="00406A92" w:rsidRPr="00627D42" w:rsidRDefault="00406A92" w:rsidP="00406A92">
            <w:pPr>
              <w:pStyle w:val="Heading3"/>
              <w:spacing w:before="60" w:after="60"/>
              <w:ind w:left="-113" w:right="-110"/>
              <w:jc w:val="right"/>
            </w:pPr>
            <w:r>
              <w:t>FEC_2023_11_16_P14</w:t>
            </w:r>
          </w:p>
        </w:tc>
      </w:tr>
      <w:tr w:rsidR="00406A92" w:rsidRPr="008A753B" w14:paraId="112F0B85" w14:textId="77777777" w:rsidTr="3A98BE57">
        <w:tc>
          <w:tcPr>
            <w:tcW w:w="1560" w:type="dxa"/>
            <w:tcBorders>
              <w:top w:val="single" w:sz="4" w:space="0" w:color="auto"/>
            </w:tcBorders>
          </w:tcPr>
          <w:p w14:paraId="123A7AE9" w14:textId="5D745B74" w:rsidR="00406A92" w:rsidRPr="008A753B" w:rsidRDefault="00406A92" w:rsidP="00406A92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688A0001" w14:textId="799032D1" w:rsidR="00406A92" w:rsidRPr="008A753B" w:rsidRDefault="00406A92" w:rsidP="00406A9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 noted the cycle of Committee business for the</w:t>
            </w:r>
            <w:r w:rsidR="00634829">
              <w:rPr>
                <w:sz w:val="24"/>
                <w:szCs w:val="24"/>
              </w:rPr>
              <w:t xml:space="preserve"> remainder of the</w:t>
            </w:r>
            <w:r>
              <w:rPr>
                <w:sz w:val="24"/>
                <w:szCs w:val="24"/>
              </w:rPr>
              <w:t xml:space="preserve"> 2023/24 academic year.</w:t>
            </w:r>
          </w:p>
        </w:tc>
      </w:tr>
      <w:tr w:rsidR="00406A92" w:rsidRPr="008A753B" w14:paraId="7CC4D9A7" w14:textId="77777777" w:rsidTr="3A98BE5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832792" w14:textId="68871C3D" w:rsidR="00406A92" w:rsidRPr="00A85DEC" w:rsidRDefault="00406A92" w:rsidP="00406A92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FEC_2023_11_16_15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1100C3" w14:textId="3BAF4769" w:rsidR="00406A92" w:rsidRPr="00A85DEC" w:rsidRDefault="00406A92" w:rsidP="00406A92">
            <w:pPr>
              <w:pStyle w:val="Heading2"/>
              <w:rPr>
                <w:sz w:val="20"/>
                <w:szCs w:val="20"/>
              </w:rPr>
            </w:pPr>
            <w:r w:rsidRPr="00A85DEC">
              <w:t>ANY URGENT BUSINESS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E712B1" w14:textId="6AD32EA3" w:rsidR="00406A92" w:rsidRPr="008A753B" w:rsidRDefault="00406A92" w:rsidP="00406A92">
            <w:pPr>
              <w:spacing w:before="60" w:after="60"/>
              <w:ind w:right="-109"/>
              <w:jc w:val="right"/>
              <w:rPr>
                <w:sz w:val="24"/>
                <w:szCs w:val="24"/>
              </w:rPr>
            </w:pPr>
          </w:p>
        </w:tc>
      </w:tr>
      <w:tr w:rsidR="00406A92" w:rsidRPr="008A753B" w14:paraId="730EC16F" w14:textId="77777777" w:rsidTr="3A98BE5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DED534" w14:textId="1DE4D795" w:rsidR="00406A92" w:rsidRPr="008A753B" w:rsidRDefault="00406A92" w:rsidP="00406A92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5F758" w14:textId="69A46F84" w:rsidR="00406A92" w:rsidRPr="008A753B" w:rsidRDefault="00634829" w:rsidP="00406A9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Chair, on behalf of the Committee, expressed his t</w:t>
            </w:r>
            <w:r w:rsidR="00BE3939">
              <w:rPr>
                <w:sz w:val="24"/>
                <w:szCs w:val="24"/>
              </w:rPr>
              <w:t xml:space="preserve">hanks to </w:t>
            </w:r>
            <w:r>
              <w:rPr>
                <w:sz w:val="24"/>
                <w:szCs w:val="24"/>
              </w:rPr>
              <w:t>the Vice-Chancellor</w:t>
            </w:r>
            <w:r w:rsidR="00BE3939">
              <w:rPr>
                <w:sz w:val="24"/>
                <w:szCs w:val="24"/>
              </w:rPr>
              <w:t xml:space="preserve"> for</w:t>
            </w:r>
            <w:r w:rsidR="00993FAC">
              <w:rPr>
                <w:sz w:val="24"/>
                <w:szCs w:val="24"/>
              </w:rPr>
              <w:t xml:space="preserve"> his outstanding c</w:t>
            </w:r>
            <w:r w:rsidR="00BE3939">
              <w:rPr>
                <w:sz w:val="24"/>
                <w:szCs w:val="24"/>
              </w:rPr>
              <w:t xml:space="preserve">ontribution to the University and wished him well in the future.  </w:t>
            </w:r>
            <w:r w:rsidR="00406A92">
              <w:rPr>
                <w:sz w:val="24"/>
                <w:szCs w:val="24"/>
              </w:rPr>
              <w:t xml:space="preserve"> </w:t>
            </w:r>
          </w:p>
        </w:tc>
      </w:tr>
      <w:tr w:rsidR="00406A92" w:rsidRPr="008A753B" w14:paraId="2CF122DD" w14:textId="77777777" w:rsidTr="3A98BE5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055F93" w14:textId="52725FE6" w:rsidR="00406A92" w:rsidRPr="008A753B" w:rsidRDefault="00406A92" w:rsidP="00406A92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FEC_2023_11_16_16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7467DD" w14:textId="7900828C" w:rsidR="00406A92" w:rsidRPr="008A753B" w:rsidRDefault="00406A92" w:rsidP="00406A92">
            <w:pPr>
              <w:pStyle w:val="Heading2"/>
            </w:pPr>
            <w:r w:rsidRPr="008A753B">
              <w:t xml:space="preserve">DATE OF THE NEXT </w:t>
            </w:r>
            <w:r>
              <w:t>M</w:t>
            </w:r>
            <w:r w:rsidRPr="008A753B">
              <w:t>EETING</w:t>
            </w:r>
            <w:r>
              <w:t>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FC4BB5" w14:textId="77777777" w:rsidR="00406A92" w:rsidRPr="008A753B" w:rsidRDefault="00406A92" w:rsidP="00406A92">
            <w:pPr>
              <w:spacing w:before="60" w:after="60"/>
              <w:jc w:val="right"/>
              <w:rPr>
                <w:sz w:val="24"/>
                <w:szCs w:val="24"/>
              </w:rPr>
            </w:pPr>
          </w:p>
        </w:tc>
      </w:tr>
      <w:tr w:rsidR="00406A92" w:rsidRPr="008A753B" w14:paraId="29BAEE99" w14:textId="77777777" w:rsidTr="3A98BE5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D35665" w14:textId="019C7FF6" w:rsidR="00406A92" w:rsidRPr="008A753B" w:rsidRDefault="00406A92" w:rsidP="00406A92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4B1EE" w14:textId="479C3B6B" w:rsidR="00406A92" w:rsidRPr="00A51EAB" w:rsidRDefault="00406A92" w:rsidP="00406A92">
            <w:pPr>
              <w:spacing w:before="60" w:after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Wedn</w:t>
            </w:r>
            <w:r w:rsidR="00BE3939">
              <w:rPr>
                <w:bCs/>
                <w:sz w:val="24"/>
                <w:szCs w:val="24"/>
              </w:rPr>
              <w:t>e</w:t>
            </w:r>
            <w:r>
              <w:rPr>
                <w:bCs/>
                <w:sz w:val="24"/>
                <w:szCs w:val="24"/>
              </w:rPr>
              <w:t xml:space="preserve">sday, 6 March 2024, </w:t>
            </w:r>
            <w:r w:rsidRPr="002F322E">
              <w:rPr>
                <w:bCs/>
                <w:sz w:val="24"/>
                <w:szCs w:val="24"/>
              </w:rPr>
              <w:t>15.00-1</w:t>
            </w:r>
            <w:r>
              <w:rPr>
                <w:bCs/>
                <w:sz w:val="24"/>
                <w:szCs w:val="24"/>
              </w:rPr>
              <w:t>8</w:t>
            </w:r>
            <w:r w:rsidRPr="002F322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00</w:t>
            </w:r>
          </w:p>
        </w:tc>
      </w:tr>
    </w:tbl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DB4956">
      <w:footerReference w:type="default" r:id="rId7"/>
      <w:headerReference w:type="first" r:id="rId8"/>
      <w:footerReference w:type="first" r:id="rId9"/>
      <w:pgSz w:w="11906" w:h="16838"/>
      <w:pgMar w:top="1134" w:right="1134" w:bottom="993" w:left="1440" w:header="426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5691F" w14:textId="77777777" w:rsidR="00746A59" w:rsidRDefault="00746A59" w:rsidP="0000042C">
      <w:pPr>
        <w:spacing w:after="0" w:line="240" w:lineRule="auto"/>
      </w:pPr>
      <w:r>
        <w:separator/>
      </w:r>
    </w:p>
  </w:endnote>
  <w:endnote w:type="continuationSeparator" w:id="0">
    <w:p w14:paraId="6663A952" w14:textId="77777777" w:rsidR="00746A59" w:rsidRDefault="00746A59" w:rsidP="0000042C">
      <w:pPr>
        <w:spacing w:after="0" w:line="240" w:lineRule="auto"/>
      </w:pPr>
      <w:r>
        <w:continuationSeparator/>
      </w:r>
    </w:p>
  </w:endnote>
  <w:endnote w:type="continuationNotice" w:id="1">
    <w:p w14:paraId="41460E94" w14:textId="77777777" w:rsidR="00746A59" w:rsidRDefault="00746A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/>
    <w:sdtContent>
      <w:sdt>
        <w:sdtPr>
          <w:rPr>
            <w:color w:val="621B4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EE1B61" w14:textId="00157540" w:rsidR="009F2503" w:rsidRPr="009F2503" w:rsidRDefault="009F2503">
            <w:pPr>
              <w:pStyle w:val="Footer"/>
              <w:jc w:val="right"/>
              <w:rPr>
                <w:color w:val="621B40"/>
                <w:sz w:val="16"/>
                <w:szCs w:val="16"/>
              </w:rPr>
            </w:pPr>
            <w:r w:rsidRPr="0000237B">
              <w:rPr>
                <w:sz w:val="16"/>
                <w:szCs w:val="16"/>
              </w:rPr>
              <w:t xml:space="preserve">Page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  <w:r w:rsidRPr="0000237B">
              <w:rPr>
                <w:sz w:val="16"/>
                <w:szCs w:val="16"/>
              </w:rPr>
              <w:t xml:space="preserve"> of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D986FC" w14:textId="77777777" w:rsidR="008B3E3D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2E018" w14:textId="620BE9CC" w:rsidR="0000237B" w:rsidRPr="00826269" w:rsidRDefault="0000237B" w:rsidP="0000237B">
    <w:pPr>
      <w:pStyle w:val="Footer"/>
      <w:jc w:val="right"/>
      <w:rPr>
        <w:color w:val="621B40"/>
        <w:sz w:val="24"/>
        <w:szCs w:val="24"/>
      </w:rPr>
    </w:pPr>
    <w:r w:rsidRPr="00826269">
      <w:rPr>
        <w:sz w:val="24"/>
        <w:szCs w:val="24"/>
      </w:rPr>
      <w:t xml:space="preserve">Page </w:t>
    </w:r>
    <w:r w:rsidRPr="00826269">
      <w:rPr>
        <w:b/>
        <w:bCs/>
        <w:sz w:val="24"/>
        <w:szCs w:val="24"/>
      </w:rPr>
      <w:fldChar w:fldCharType="begin"/>
    </w:r>
    <w:r w:rsidRPr="00826269">
      <w:rPr>
        <w:b/>
        <w:bCs/>
        <w:sz w:val="24"/>
        <w:szCs w:val="24"/>
      </w:rPr>
      <w:instrText xml:space="preserve"> PAGE </w:instrText>
    </w:r>
    <w:r w:rsidRPr="00826269">
      <w:rPr>
        <w:b/>
        <w:bCs/>
        <w:sz w:val="24"/>
        <w:szCs w:val="24"/>
      </w:rPr>
      <w:fldChar w:fldCharType="separate"/>
    </w:r>
    <w:r w:rsidRPr="00826269">
      <w:rPr>
        <w:b/>
        <w:bCs/>
        <w:sz w:val="24"/>
        <w:szCs w:val="24"/>
      </w:rPr>
      <w:t>2</w:t>
    </w:r>
    <w:r w:rsidRPr="00826269">
      <w:rPr>
        <w:b/>
        <w:bCs/>
        <w:sz w:val="24"/>
        <w:szCs w:val="24"/>
      </w:rPr>
      <w:fldChar w:fldCharType="end"/>
    </w:r>
    <w:r w:rsidRPr="00826269">
      <w:rPr>
        <w:sz w:val="24"/>
        <w:szCs w:val="24"/>
      </w:rPr>
      <w:t xml:space="preserve"> of </w:t>
    </w:r>
    <w:r w:rsidRPr="00826269">
      <w:rPr>
        <w:b/>
        <w:bCs/>
        <w:sz w:val="24"/>
        <w:szCs w:val="24"/>
      </w:rPr>
      <w:fldChar w:fldCharType="begin"/>
    </w:r>
    <w:r w:rsidRPr="00826269">
      <w:rPr>
        <w:b/>
        <w:bCs/>
        <w:sz w:val="24"/>
        <w:szCs w:val="24"/>
      </w:rPr>
      <w:instrText xml:space="preserve"> NUMPAGES  </w:instrText>
    </w:r>
    <w:r w:rsidRPr="00826269">
      <w:rPr>
        <w:b/>
        <w:bCs/>
        <w:sz w:val="24"/>
        <w:szCs w:val="24"/>
      </w:rPr>
      <w:fldChar w:fldCharType="separate"/>
    </w:r>
    <w:r w:rsidRPr="00826269">
      <w:rPr>
        <w:b/>
        <w:bCs/>
        <w:sz w:val="24"/>
        <w:szCs w:val="24"/>
      </w:rPr>
      <w:t>2</w:t>
    </w:r>
    <w:r w:rsidRPr="00826269">
      <w:rPr>
        <w:b/>
        <w:bCs/>
        <w:sz w:val="24"/>
        <w:szCs w:val="24"/>
      </w:rPr>
      <w:fldChar w:fldCharType="end"/>
    </w:r>
  </w:p>
  <w:p w14:paraId="1D0396FB" w14:textId="77777777" w:rsidR="0000237B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42AA3" w14:textId="77777777" w:rsidR="00746A59" w:rsidRDefault="00746A59" w:rsidP="0000042C">
      <w:pPr>
        <w:spacing w:after="0" w:line="240" w:lineRule="auto"/>
      </w:pPr>
      <w:r>
        <w:separator/>
      </w:r>
    </w:p>
  </w:footnote>
  <w:footnote w:type="continuationSeparator" w:id="0">
    <w:p w14:paraId="0BD40DF8" w14:textId="77777777" w:rsidR="00746A59" w:rsidRDefault="00746A59" w:rsidP="0000042C">
      <w:pPr>
        <w:spacing w:after="0" w:line="240" w:lineRule="auto"/>
      </w:pPr>
      <w:r>
        <w:continuationSeparator/>
      </w:r>
    </w:p>
  </w:footnote>
  <w:footnote w:type="continuationNotice" w:id="1">
    <w:p w14:paraId="6B2E2757" w14:textId="77777777" w:rsidR="00746A59" w:rsidRDefault="00746A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5528"/>
      <w:gridCol w:w="2268"/>
    </w:tblGrid>
    <w:tr w:rsidR="00DB4956" w:rsidRPr="00131BC8" w14:paraId="385E976F" w14:textId="77777777" w:rsidTr="00DB4956">
      <w:tc>
        <w:tcPr>
          <w:tcW w:w="2269" w:type="dxa"/>
        </w:tcPr>
        <w:p w14:paraId="1EDD1CEB" w14:textId="421B7730" w:rsidR="00DB4956" w:rsidRPr="0000042C" w:rsidRDefault="00DB4956" w:rsidP="00DB4956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32B832DF" wp14:editId="5F8464F5">
                <wp:extent cx="894853" cy="480060"/>
                <wp:effectExtent l="0" t="0" r="635" b="0"/>
                <wp:docPr id="821474179" name="Picture 821474179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23AB27DC" w14:textId="34FDEE79" w:rsidR="00DB4956" w:rsidRPr="00131BC8" w:rsidRDefault="00DB4956" w:rsidP="00DB4956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FINANCE AND EMPLOYMENT COMMITTEE</w:t>
          </w:r>
        </w:p>
      </w:tc>
      <w:tc>
        <w:tcPr>
          <w:tcW w:w="2268" w:type="dxa"/>
        </w:tcPr>
        <w:p w14:paraId="7824D725" w14:textId="45395468" w:rsidR="00DB4956" w:rsidRPr="00131BC8" w:rsidRDefault="00DB4956" w:rsidP="00DB4956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FEC</w:t>
          </w:r>
          <w:r w:rsidR="000D02D5">
            <w:rPr>
              <w:b/>
              <w:bCs/>
              <w:sz w:val="24"/>
              <w:szCs w:val="24"/>
            </w:rPr>
            <w:t>_</w:t>
          </w:r>
          <w:r>
            <w:rPr>
              <w:b/>
              <w:bCs/>
              <w:sz w:val="24"/>
              <w:szCs w:val="24"/>
            </w:rPr>
            <w:t>2023</w:t>
          </w:r>
          <w:r w:rsidR="000D02D5">
            <w:rPr>
              <w:b/>
              <w:bCs/>
              <w:sz w:val="24"/>
              <w:szCs w:val="24"/>
            </w:rPr>
            <w:t>_</w:t>
          </w:r>
          <w:r w:rsidR="002608CF">
            <w:rPr>
              <w:b/>
              <w:bCs/>
              <w:sz w:val="24"/>
              <w:szCs w:val="24"/>
            </w:rPr>
            <w:t>11</w:t>
          </w:r>
          <w:r w:rsidR="000D02D5">
            <w:rPr>
              <w:b/>
              <w:bCs/>
              <w:sz w:val="24"/>
              <w:szCs w:val="24"/>
            </w:rPr>
            <w:t>_</w:t>
          </w:r>
          <w:r w:rsidR="002608CF">
            <w:rPr>
              <w:b/>
              <w:bCs/>
              <w:sz w:val="24"/>
              <w:szCs w:val="24"/>
            </w:rPr>
            <w:t>16</w:t>
          </w:r>
          <w:r w:rsidR="000D02D5">
            <w:rPr>
              <w:b/>
              <w:bCs/>
              <w:sz w:val="24"/>
              <w:szCs w:val="24"/>
            </w:rPr>
            <w:t>_</w:t>
          </w:r>
          <w:r w:rsidRPr="00131BC8">
            <w:rPr>
              <w:b/>
              <w:bCs/>
              <w:sz w:val="24"/>
              <w:szCs w:val="24"/>
            </w:rPr>
            <w:t>M</w:t>
          </w:r>
        </w:p>
      </w:tc>
    </w:tr>
  </w:tbl>
  <w:p w14:paraId="1211EEBF" w14:textId="77777777" w:rsidR="0000237B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4278"/>
    <w:multiLevelType w:val="hybridMultilevel"/>
    <w:tmpl w:val="5504E18A"/>
    <w:lvl w:ilvl="0" w:tplc="0809000B">
      <w:start w:val="1"/>
      <w:numFmt w:val="bullet"/>
      <w:lvlText w:val=""/>
      <w:lvlJc w:val="left"/>
      <w:pPr>
        <w:ind w:left="333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 w15:restartNumberingAfterBreak="0">
    <w:nsid w:val="06581D5F"/>
    <w:multiLevelType w:val="hybridMultilevel"/>
    <w:tmpl w:val="3BB62F40"/>
    <w:lvl w:ilvl="0" w:tplc="8F6EF5B2">
      <w:start w:val="9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101415"/>
    <w:multiLevelType w:val="hybridMultilevel"/>
    <w:tmpl w:val="7C74CD7A"/>
    <w:lvl w:ilvl="0" w:tplc="4A54E3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07565"/>
    <w:multiLevelType w:val="hybridMultilevel"/>
    <w:tmpl w:val="D92A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E3A13"/>
    <w:multiLevelType w:val="hybridMultilevel"/>
    <w:tmpl w:val="7AEAE7EE"/>
    <w:lvl w:ilvl="0" w:tplc="D17AD04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F930FD"/>
    <w:multiLevelType w:val="hybridMultilevel"/>
    <w:tmpl w:val="F9C22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65292"/>
    <w:multiLevelType w:val="hybridMultilevel"/>
    <w:tmpl w:val="C958CB8C"/>
    <w:lvl w:ilvl="0" w:tplc="D17AD04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A3BAD"/>
    <w:multiLevelType w:val="hybridMultilevel"/>
    <w:tmpl w:val="5F1074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5A072E"/>
    <w:multiLevelType w:val="hybridMultilevel"/>
    <w:tmpl w:val="47BEA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2665B"/>
    <w:multiLevelType w:val="hybridMultilevel"/>
    <w:tmpl w:val="1598A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E075A"/>
    <w:multiLevelType w:val="hybridMultilevel"/>
    <w:tmpl w:val="5A889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B52405"/>
    <w:multiLevelType w:val="hybridMultilevel"/>
    <w:tmpl w:val="28B62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831DF0"/>
    <w:multiLevelType w:val="hybridMultilevel"/>
    <w:tmpl w:val="5868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55816"/>
    <w:multiLevelType w:val="hybridMultilevel"/>
    <w:tmpl w:val="06F2B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9470A5"/>
    <w:multiLevelType w:val="hybridMultilevel"/>
    <w:tmpl w:val="828A6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831E03"/>
    <w:multiLevelType w:val="hybridMultilevel"/>
    <w:tmpl w:val="16E0C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9E5F0C"/>
    <w:multiLevelType w:val="hybridMultilevel"/>
    <w:tmpl w:val="2572E1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74AAF"/>
    <w:multiLevelType w:val="hybridMultilevel"/>
    <w:tmpl w:val="D8A0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2E3BA1"/>
    <w:multiLevelType w:val="hybridMultilevel"/>
    <w:tmpl w:val="86FE2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A158A"/>
    <w:multiLevelType w:val="hybridMultilevel"/>
    <w:tmpl w:val="09882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E4F25"/>
    <w:multiLevelType w:val="hybridMultilevel"/>
    <w:tmpl w:val="62248986"/>
    <w:lvl w:ilvl="0" w:tplc="D17AD04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34259F"/>
    <w:multiLevelType w:val="hybridMultilevel"/>
    <w:tmpl w:val="B0ECD09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A70D7"/>
    <w:multiLevelType w:val="hybridMultilevel"/>
    <w:tmpl w:val="3426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B1BC6"/>
    <w:multiLevelType w:val="hybridMultilevel"/>
    <w:tmpl w:val="5A62F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D15277"/>
    <w:multiLevelType w:val="hybridMultilevel"/>
    <w:tmpl w:val="BF0CC15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1D6331D"/>
    <w:multiLevelType w:val="hybridMultilevel"/>
    <w:tmpl w:val="3D3C9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FD5A2F"/>
    <w:multiLevelType w:val="hybridMultilevel"/>
    <w:tmpl w:val="1F3A34B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4240C"/>
    <w:multiLevelType w:val="hybridMultilevel"/>
    <w:tmpl w:val="4ABC98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1A59FC"/>
    <w:multiLevelType w:val="hybridMultilevel"/>
    <w:tmpl w:val="BEAC6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D60E32"/>
    <w:multiLevelType w:val="hybridMultilevel"/>
    <w:tmpl w:val="70E69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730E6F"/>
    <w:multiLevelType w:val="hybridMultilevel"/>
    <w:tmpl w:val="BD3E9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3C44E0"/>
    <w:multiLevelType w:val="hybridMultilevel"/>
    <w:tmpl w:val="FA286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7F4CE6"/>
    <w:multiLevelType w:val="hybridMultilevel"/>
    <w:tmpl w:val="A3FEC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60AF2"/>
    <w:multiLevelType w:val="hybridMultilevel"/>
    <w:tmpl w:val="2C2CF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6D6768"/>
    <w:multiLevelType w:val="hybridMultilevel"/>
    <w:tmpl w:val="F4646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E979E4"/>
    <w:multiLevelType w:val="hybridMultilevel"/>
    <w:tmpl w:val="DC647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601077"/>
    <w:multiLevelType w:val="hybridMultilevel"/>
    <w:tmpl w:val="C3DA0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886355"/>
    <w:multiLevelType w:val="hybridMultilevel"/>
    <w:tmpl w:val="15D050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5625C"/>
    <w:multiLevelType w:val="hybridMultilevel"/>
    <w:tmpl w:val="71CAF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943F1D"/>
    <w:multiLevelType w:val="hybridMultilevel"/>
    <w:tmpl w:val="F0B25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461E02"/>
    <w:multiLevelType w:val="hybridMultilevel"/>
    <w:tmpl w:val="E3AE3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118485">
    <w:abstractNumId w:val="5"/>
  </w:num>
  <w:num w:numId="2" w16cid:durableId="543565821">
    <w:abstractNumId w:val="1"/>
  </w:num>
  <w:num w:numId="3" w16cid:durableId="1986353847">
    <w:abstractNumId w:val="32"/>
  </w:num>
  <w:num w:numId="4" w16cid:durableId="1917204904">
    <w:abstractNumId w:val="8"/>
  </w:num>
  <w:num w:numId="5" w16cid:durableId="565336848">
    <w:abstractNumId w:val="24"/>
  </w:num>
  <w:num w:numId="6" w16cid:durableId="740373997">
    <w:abstractNumId w:val="3"/>
  </w:num>
  <w:num w:numId="7" w16cid:durableId="1341078141">
    <w:abstractNumId w:val="9"/>
  </w:num>
  <w:num w:numId="8" w16cid:durableId="1232037746">
    <w:abstractNumId w:val="22"/>
  </w:num>
  <w:num w:numId="9" w16cid:durableId="79450397">
    <w:abstractNumId w:val="40"/>
  </w:num>
  <w:num w:numId="10" w16cid:durableId="1901213719">
    <w:abstractNumId w:val="32"/>
  </w:num>
  <w:num w:numId="11" w16cid:durableId="1514998408">
    <w:abstractNumId w:val="24"/>
  </w:num>
  <w:num w:numId="12" w16cid:durableId="871306410">
    <w:abstractNumId w:val="2"/>
  </w:num>
  <w:num w:numId="13" w16cid:durableId="775249327">
    <w:abstractNumId w:val="7"/>
  </w:num>
  <w:num w:numId="14" w16cid:durableId="488834454">
    <w:abstractNumId w:val="35"/>
  </w:num>
  <w:num w:numId="15" w16cid:durableId="878661623">
    <w:abstractNumId w:val="39"/>
  </w:num>
  <w:num w:numId="16" w16cid:durableId="1252007237">
    <w:abstractNumId w:val="6"/>
  </w:num>
  <w:num w:numId="17" w16cid:durableId="1777402757">
    <w:abstractNumId w:val="17"/>
  </w:num>
  <w:num w:numId="18" w16cid:durableId="1739477119">
    <w:abstractNumId w:val="25"/>
  </w:num>
  <w:num w:numId="19" w16cid:durableId="1150169482">
    <w:abstractNumId w:val="0"/>
  </w:num>
  <w:num w:numId="20" w16cid:durableId="1881045955">
    <w:abstractNumId w:val="4"/>
  </w:num>
  <w:num w:numId="21" w16cid:durableId="1606378794">
    <w:abstractNumId w:val="31"/>
  </w:num>
  <w:num w:numId="22" w16cid:durableId="927927209">
    <w:abstractNumId w:val="19"/>
  </w:num>
  <w:num w:numId="23" w16cid:durableId="1983778066">
    <w:abstractNumId w:val="30"/>
  </w:num>
  <w:num w:numId="24" w16cid:durableId="868297639">
    <w:abstractNumId w:val="33"/>
  </w:num>
  <w:num w:numId="25" w16cid:durableId="2048985702">
    <w:abstractNumId w:val="26"/>
  </w:num>
  <w:num w:numId="26" w16cid:durableId="2129618308">
    <w:abstractNumId w:val="21"/>
  </w:num>
  <w:num w:numId="27" w16cid:durableId="380860458">
    <w:abstractNumId w:val="20"/>
  </w:num>
  <w:num w:numId="28" w16cid:durableId="280456491">
    <w:abstractNumId w:val="29"/>
  </w:num>
  <w:num w:numId="29" w16cid:durableId="493452228">
    <w:abstractNumId w:val="27"/>
  </w:num>
  <w:num w:numId="30" w16cid:durableId="1614173440">
    <w:abstractNumId w:val="14"/>
  </w:num>
  <w:num w:numId="31" w16cid:durableId="897017768">
    <w:abstractNumId w:val="38"/>
  </w:num>
  <w:num w:numId="32" w16cid:durableId="1520508316">
    <w:abstractNumId w:val="13"/>
  </w:num>
  <w:num w:numId="33" w16cid:durableId="1935167822">
    <w:abstractNumId w:val="36"/>
  </w:num>
  <w:num w:numId="34" w16cid:durableId="1361860490">
    <w:abstractNumId w:val="10"/>
  </w:num>
  <w:num w:numId="35" w16cid:durableId="54547455">
    <w:abstractNumId w:val="15"/>
  </w:num>
  <w:num w:numId="36" w16cid:durableId="783497223">
    <w:abstractNumId w:val="16"/>
  </w:num>
  <w:num w:numId="37" w16cid:durableId="1352801117">
    <w:abstractNumId w:val="34"/>
  </w:num>
  <w:num w:numId="38" w16cid:durableId="661549768">
    <w:abstractNumId w:val="11"/>
  </w:num>
  <w:num w:numId="39" w16cid:durableId="12271046">
    <w:abstractNumId w:val="18"/>
  </w:num>
  <w:num w:numId="40" w16cid:durableId="497769883">
    <w:abstractNumId w:val="23"/>
  </w:num>
  <w:num w:numId="41" w16cid:durableId="2903842">
    <w:abstractNumId w:val="37"/>
  </w:num>
  <w:num w:numId="42" w16cid:durableId="134758057">
    <w:abstractNumId w:val="12"/>
  </w:num>
  <w:num w:numId="43" w16cid:durableId="1708215609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cl8bnsJWOBeiVnwq5gbt369eBkqcfDZUbw9m9t2ku1Z7jY2/wUxH8saV5xlcNoB88HlPu0IEJKqQv2vbQfleQ==" w:salt="8BjJcEb7X6Dcudcx4dCMf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237B"/>
    <w:rsid w:val="0000258A"/>
    <w:rsid w:val="000037D6"/>
    <w:rsid w:val="00004D0F"/>
    <w:rsid w:val="00004F1C"/>
    <w:rsid w:val="00010FD6"/>
    <w:rsid w:val="000167F5"/>
    <w:rsid w:val="00016934"/>
    <w:rsid w:val="000212D1"/>
    <w:rsid w:val="00021930"/>
    <w:rsid w:val="00022310"/>
    <w:rsid w:val="00022882"/>
    <w:rsid w:val="0002491F"/>
    <w:rsid w:val="00027DF7"/>
    <w:rsid w:val="00030C39"/>
    <w:rsid w:val="00031FAC"/>
    <w:rsid w:val="000325CC"/>
    <w:rsid w:val="00034317"/>
    <w:rsid w:val="00037A9D"/>
    <w:rsid w:val="00040B9A"/>
    <w:rsid w:val="00043BD7"/>
    <w:rsid w:val="00044A39"/>
    <w:rsid w:val="00044D67"/>
    <w:rsid w:val="000537F8"/>
    <w:rsid w:val="00056D7A"/>
    <w:rsid w:val="00060BD9"/>
    <w:rsid w:val="00066A1C"/>
    <w:rsid w:val="0007498C"/>
    <w:rsid w:val="000756D8"/>
    <w:rsid w:val="00075AE5"/>
    <w:rsid w:val="00084E5C"/>
    <w:rsid w:val="00093141"/>
    <w:rsid w:val="000934E1"/>
    <w:rsid w:val="00093D5B"/>
    <w:rsid w:val="00094917"/>
    <w:rsid w:val="000A3273"/>
    <w:rsid w:val="000A582C"/>
    <w:rsid w:val="000A5D39"/>
    <w:rsid w:val="000A74D1"/>
    <w:rsid w:val="000B1032"/>
    <w:rsid w:val="000B1151"/>
    <w:rsid w:val="000B741F"/>
    <w:rsid w:val="000C27F3"/>
    <w:rsid w:val="000C29D9"/>
    <w:rsid w:val="000C2A74"/>
    <w:rsid w:val="000C39A5"/>
    <w:rsid w:val="000C3E87"/>
    <w:rsid w:val="000C3EDD"/>
    <w:rsid w:val="000C520C"/>
    <w:rsid w:val="000C5DD7"/>
    <w:rsid w:val="000D02D5"/>
    <w:rsid w:val="000D113B"/>
    <w:rsid w:val="000D2C19"/>
    <w:rsid w:val="000D5C69"/>
    <w:rsid w:val="000D5DBD"/>
    <w:rsid w:val="000D79CD"/>
    <w:rsid w:val="000E0F0B"/>
    <w:rsid w:val="000E713A"/>
    <w:rsid w:val="000F3F9D"/>
    <w:rsid w:val="000F66F0"/>
    <w:rsid w:val="000F6BD2"/>
    <w:rsid w:val="001007DA"/>
    <w:rsid w:val="00103702"/>
    <w:rsid w:val="00112F05"/>
    <w:rsid w:val="00120657"/>
    <w:rsid w:val="00124F9B"/>
    <w:rsid w:val="001278DA"/>
    <w:rsid w:val="00131BC8"/>
    <w:rsid w:val="001365FD"/>
    <w:rsid w:val="00136855"/>
    <w:rsid w:val="00136B49"/>
    <w:rsid w:val="00137A1E"/>
    <w:rsid w:val="001410E3"/>
    <w:rsid w:val="0014141B"/>
    <w:rsid w:val="001433E4"/>
    <w:rsid w:val="001445D4"/>
    <w:rsid w:val="00145497"/>
    <w:rsid w:val="0015446D"/>
    <w:rsid w:val="0015494E"/>
    <w:rsid w:val="0016235B"/>
    <w:rsid w:val="00164593"/>
    <w:rsid w:val="00172CB8"/>
    <w:rsid w:val="00173C6D"/>
    <w:rsid w:val="00182FB3"/>
    <w:rsid w:val="00187913"/>
    <w:rsid w:val="00196781"/>
    <w:rsid w:val="00197053"/>
    <w:rsid w:val="00197581"/>
    <w:rsid w:val="001A37FE"/>
    <w:rsid w:val="001A5DAA"/>
    <w:rsid w:val="001B5143"/>
    <w:rsid w:val="001B59A0"/>
    <w:rsid w:val="001C58C3"/>
    <w:rsid w:val="001C62BE"/>
    <w:rsid w:val="001C6D99"/>
    <w:rsid w:val="001D7879"/>
    <w:rsid w:val="001E00E8"/>
    <w:rsid w:val="001E11AF"/>
    <w:rsid w:val="001E1E88"/>
    <w:rsid w:val="001E5044"/>
    <w:rsid w:val="001E6829"/>
    <w:rsid w:val="00201C55"/>
    <w:rsid w:val="00204CD9"/>
    <w:rsid w:val="00205499"/>
    <w:rsid w:val="0021033D"/>
    <w:rsid w:val="002123DF"/>
    <w:rsid w:val="00214CE0"/>
    <w:rsid w:val="002161C5"/>
    <w:rsid w:val="00216CD2"/>
    <w:rsid w:val="0023460D"/>
    <w:rsid w:val="00234EAF"/>
    <w:rsid w:val="00235A79"/>
    <w:rsid w:val="002402A1"/>
    <w:rsid w:val="00241C02"/>
    <w:rsid w:val="002549E6"/>
    <w:rsid w:val="002563F8"/>
    <w:rsid w:val="00257A17"/>
    <w:rsid w:val="002608CF"/>
    <w:rsid w:val="00261FCC"/>
    <w:rsid w:val="00261FE3"/>
    <w:rsid w:val="00271446"/>
    <w:rsid w:val="00272148"/>
    <w:rsid w:val="0027281E"/>
    <w:rsid w:val="00276249"/>
    <w:rsid w:val="002809E2"/>
    <w:rsid w:val="00280C85"/>
    <w:rsid w:val="00282250"/>
    <w:rsid w:val="00282CD0"/>
    <w:rsid w:val="00283879"/>
    <w:rsid w:val="002931CB"/>
    <w:rsid w:val="00295C84"/>
    <w:rsid w:val="0029787F"/>
    <w:rsid w:val="002A0836"/>
    <w:rsid w:val="002A0C7D"/>
    <w:rsid w:val="002A4F57"/>
    <w:rsid w:val="002A58D2"/>
    <w:rsid w:val="002A7694"/>
    <w:rsid w:val="002B1BBD"/>
    <w:rsid w:val="002B46E3"/>
    <w:rsid w:val="002B4928"/>
    <w:rsid w:val="002B5393"/>
    <w:rsid w:val="002B5A77"/>
    <w:rsid w:val="002C55D8"/>
    <w:rsid w:val="002D430D"/>
    <w:rsid w:val="002D5AAF"/>
    <w:rsid w:val="002E560D"/>
    <w:rsid w:val="002E6DE9"/>
    <w:rsid w:val="002F6CBA"/>
    <w:rsid w:val="003027CF"/>
    <w:rsid w:val="00306A7C"/>
    <w:rsid w:val="0031313F"/>
    <w:rsid w:val="00315CCD"/>
    <w:rsid w:val="003161E5"/>
    <w:rsid w:val="00316B0F"/>
    <w:rsid w:val="003177CC"/>
    <w:rsid w:val="003224D0"/>
    <w:rsid w:val="00325465"/>
    <w:rsid w:val="003327F1"/>
    <w:rsid w:val="00332C00"/>
    <w:rsid w:val="00332D3A"/>
    <w:rsid w:val="00336E27"/>
    <w:rsid w:val="003372E6"/>
    <w:rsid w:val="0034256B"/>
    <w:rsid w:val="00343670"/>
    <w:rsid w:val="00344E95"/>
    <w:rsid w:val="00347EC1"/>
    <w:rsid w:val="003505B0"/>
    <w:rsid w:val="00353E9E"/>
    <w:rsid w:val="003545EB"/>
    <w:rsid w:val="003607AE"/>
    <w:rsid w:val="0036378C"/>
    <w:rsid w:val="00365FA1"/>
    <w:rsid w:val="0037008C"/>
    <w:rsid w:val="00370939"/>
    <w:rsid w:val="00371894"/>
    <w:rsid w:val="00371B3D"/>
    <w:rsid w:val="00373FE8"/>
    <w:rsid w:val="00376760"/>
    <w:rsid w:val="00376CF1"/>
    <w:rsid w:val="00391F17"/>
    <w:rsid w:val="00392682"/>
    <w:rsid w:val="00392ACB"/>
    <w:rsid w:val="00395131"/>
    <w:rsid w:val="00395C89"/>
    <w:rsid w:val="003A415B"/>
    <w:rsid w:val="003A56C1"/>
    <w:rsid w:val="003B1F85"/>
    <w:rsid w:val="003B326E"/>
    <w:rsid w:val="003B3402"/>
    <w:rsid w:val="003B3822"/>
    <w:rsid w:val="003B54EA"/>
    <w:rsid w:val="003C010B"/>
    <w:rsid w:val="003C54FF"/>
    <w:rsid w:val="003C5F2B"/>
    <w:rsid w:val="003D5AB6"/>
    <w:rsid w:val="003E0A68"/>
    <w:rsid w:val="003E0A6A"/>
    <w:rsid w:val="003E401C"/>
    <w:rsid w:val="003F6445"/>
    <w:rsid w:val="003F6CA4"/>
    <w:rsid w:val="00403916"/>
    <w:rsid w:val="0040584A"/>
    <w:rsid w:val="00406A92"/>
    <w:rsid w:val="00406AB3"/>
    <w:rsid w:val="00407C18"/>
    <w:rsid w:val="0041078A"/>
    <w:rsid w:val="00415939"/>
    <w:rsid w:val="00422173"/>
    <w:rsid w:val="0042436E"/>
    <w:rsid w:val="00424EDB"/>
    <w:rsid w:val="00433ABE"/>
    <w:rsid w:val="00434B22"/>
    <w:rsid w:val="00440551"/>
    <w:rsid w:val="004429C3"/>
    <w:rsid w:val="00443F5F"/>
    <w:rsid w:val="00445DAF"/>
    <w:rsid w:val="0044606D"/>
    <w:rsid w:val="004548F3"/>
    <w:rsid w:val="00455BAF"/>
    <w:rsid w:val="00455FF2"/>
    <w:rsid w:val="00460B23"/>
    <w:rsid w:val="004616FC"/>
    <w:rsid w:val="00462AF0"/>
    <w:rsid w:val="00463F0D"/>
    <w:rsid w:val="00465624"/>
    <w:rsid w:val="00467A84"/>
    <w:rsid w:val="00475E05"/>
    <w:rsid w:val="00484866"/>
    <w:rsid w:val="0048683D"/>
    <w:rsid w:val="00487C2A"/>
    <w:rsid w:val="00490C30"/>
    <w:rsid w:val="00491741"/>
    <w:rsid w:val="00494783"/>
    <w:rsid w:val="004968BF"/>
    <w:rsid w:val="004970A5"/>
    <w:rsid w:val="004979DB"/>
    <w:rsid w:val="004A08B4"/>
    <w:rsid w:val="004A27EA"/>
    <w:rsid w:val="004A6679"/>
    <w:rsid w:val="004A7849"/>
    <w:rsid w:val="004B00C6"/>
    <w:rsid w:val="004B4AC1"/>
    <w:rsid w:val="004C0CD0"/>
    <w:rsid w:val="004C106C"/>
    <w:rsid w:val="004C323F"/>
    <w:rsid w:val="004D1E64"/>
    <w:rsid w:val="004D2495"/>
    <w:rsid w:val="004D2EA9"/>
    <w:rsid w:val="004D4C70"/>
    <w:rsid w:val="004E00D9"/>
    <w:rsid w:val="004E2BA3"/>
    <w:rsid w:val="004E33DD"/>
    <w:rsid w:val="004E53C5"/>
    <w:rsid w:val="004F0411"/>
    <w:rsid w:val="004F342E"/>
    <w:rsid w:val="004F68F2"/>
    <w:rsid w:val="00502296"/>
    <w:rsid w:val="00503DD2"/>
    <w:rsid w:val="00504892"/>
    <w:rsid w:val="0051169D"/>
    <w:rsid w:val="00513BD7"/>
    <w:rsid w:val="0051525B"/>
    <w:rsid w:val="00516F5C"/>
    <w:rsid w:val="00531BEA"/>
    <w:rsid w:val="00532D9B"/>
    <w:rsid w:val="005347AF"/>
    <w:rsid w:val="00536F16"/>
    <w:rsid w:val="00537DAD"/>
    <w:rsid w:val="005417E4"/>
    <w:rsid w:val="00542B68"/>
    <w:rsid w:val="00542FA5"/>
    <w:rsid w:val="005462AC"/>
    <w:rsid w:val="0055402A"/>
    <w:rsid w:val="00554B2B"/>
    <w:rsid w:val="005566E3"/>
    <w:rsid w:val="005601B6"/>
    <w:rsid w:val="0056314E"/>
    <w:rsid w:val="005644CE"/>
    <w:rsid w:val="0056628D"/>
    <w:rsid w:val="00572D88"/>
    <w:rsid w:val="00576088"/>
    <w:rsid w:val="005845A4"/>
    <w:rsid w:val="005900C1"/>
    <w:rsid w:val="00592026"/>
    <w:rsid w:val="0059208A"/>
    <w:rsid w:val="005950C6"/>
    <w:rsid w:val="005971D7"/>
    <w:rsid w:val="005A45D3"/>
    <w:rsid w:val="005A6D9D"/>
    <w:rsid w:val="005A7B0B"/>
    <w:rsid w:val="005B18E3"/>
    <w:rsid w:val="005B5506"/>
    <w:rsid w:val="005B6FAD"/>
    <w:rsid w:val="005C01EB"/>
    <w:rsid w:val="005C4A86"/>
    <w:rsid w:val="005C6A3E"/>
    <w:rsid w:val="005D0CC5"/>
    <w:rsid w:val="005E281D"/>
    <w:rsid w:val="005E56A9"/>
    <w:rsid w:val="005F0DC5"/>
    <w:rsid w:val="005F6772"/>
    <w:rsid w:val="0060241C"/>
    <w:rsid w:val="006026A1"/>
    <w:rsid w:val="00602979"/>
    <w:rsid w:val="0060380B"/>
    <w:rsid w:val="006069C3"/>
    <w:rsid w:val="006107F8"/>
    <w:rsid w:val="00611779"/>
    <w:rsid w:val="00611B5C"/>
    <w:rsid w:val="0062075E"/>
    <w:rsid w:val="0062216C"/>
    <w:rsid w:val="0062295B"/>
    <w:rsid w:val="00623AC3"/>
    <w:rsid w:val="00623C7A"/>
    <w:rsid w:val="00624356"/>
    <w:rsid w:val="00626035"/>
    <w:rsid w:val="0062674E"/>
    <w:rsid w:val="00627D42"/>
    <w:rsid w:val="0063230E"/>
    <w:rsid w:val="006326F5"/>
    <w:rsid w:val="00633914"/>
    <w:rsid w:val="00634829"/>
    <w:rsid w:val="00646B6D"/>
    <w:rsid w:val="006471DD"/>
    <w:rsid w:val="006536AF"/>
    <w:rsid w:val="00661105"/>
    <w:rsid w:val="00664891"/>
    <w:rsid w:val="0067003F"/>
    <w:rsid w:val="0067017B"/>
    <w:rsid w:val="0067291B"/>
    <w:rsid w:val="006739D8"/>
    <w:rsid w:val="00677BDB"/>
    <w:rsid w:val="00682957"/>
    <w:rsid w:val="00692B5E"/>
    <w:rsid w:val="006A412D"/>
    <w:rsid w:val="006B1CD7"/>
    <w:rsid w:val="006B2F18"/>
    <w:rsid w:val="006B5046"/>
    <w:rsid w:val="006B5208"/>
    <w:rsid w:val="006B55E9"/>
    <w:rsid w:val="006B6B49"/>
    <w:rsid w:val="006C0F70"/>
    <w:rsid w:val="006C156A"/>
    <w:rsid w:val="006C3C28"/>
    <w:rsid w:val="006D15E0"/>
    <w:rsid w:val="006D3537"/>
    <w:rsid w:val="006E4C47"/>
    <w:rsid w:val="006E611B"/>
    <w:rsid w:val="006E6B74"/>
    <w:rsid w:val="006F482D"/>
    <w:rsid w:val="006F5F2A"/>
    <w:rsid w:val="006F618D"/>
    <w:rsid w:val="006F6AA9"/>
    <w:rsid w:val="0070537D"/>
    <w:rsid w:val="00710F36"/>
    <w:rsid w:val="0071211E"/>
    <w:rsid w:val="007133E9"/>
    <w:rsid w:val="00714518"/>
    <w:rsid w:val="00715960"/>
    <w:rsid w:val="00722301"/>
    <w:rsid w:val="00724664"/>
    <w:rsid w:val="00725E72"/>
    <w:rsid w:val="00733897"/>
    <w:rsid w:val="00734473"/>
    <w:rsid w:val="00746A59"/>
    <w:rsid w:val="00752134"/>
    <w:rsid w:val="00753BF0"/>
    <w:rsid w:val="007600EE"/>
    <w:rsid w:val="0076636B"/>
    <w:rsid w:val="00767533"/>
    <w:rsid w:val="007702D7"/>
    <w:rsid w:val="007717EB"/>
    <w:rsid w:val="007804E9"/>
    <w:rsid w:val="00783784"/>
    <w:rsid w:val="00792353"/>
    <w:rsid w:val="00795F71"/>
    <w:rsid w:val="00797AED"/>
    <w:rsid w:val="007A20BE"/>
    <w:rsid w:val="007A36D8"/>
    <w:rsid w:val="007A3B61"/>
    <w:rsid w:val="007A4273"/>
    <w:rsid w:val="007A79DA"/>
    <w:rsid w:val="007B5747"/>
    <w:rsid w:val="007B5D6D"/>
    <w:rsid w:val="007B63DA"/>
    <w:rsid w:val="007C1BD5"/>
    <w:rsid w:val="007C2528"/>
    <w:rsid w:val="007C32C8"/>
    <w:rsid w:val="007C4AF1"/>
    <w:rsid w:val="007D6D63"/>
    <w:rsid w:val="007E6B43"/>
    <w:rsid w:val="007E6D97"/>
    <w:rsid w:val="007F2642"/>
    <w:rsid w:val="007F2C33"/>
    <w:rsid w:val="007F66C1"/>
    <w:rsid w:val="00800CD8"/>
    <w:rsid w:val="00803CA8"/>
    <w:rsid w:val="00805392"/>
    <w:rsid w:val="00806B34"/>
    <w:rsid w:val="008104FF"/>
    <w:rsid w:val="00810722"/>
    <w:rsid w:val="00820AC3"/>
    <w:rsid w:val="00820CBE"/>
    <w:rsid w:val="00820D1C"/>
    <w:rsid w:val="00826269"/>
    <w:rsid w:val="00831B45"/>
    <w:rsid w:val="00834325"/>
    <w:rsid w:val="008408EE"/>
    <w:rsid w:val="00840951"/>
    <w:rsid w:val="00840E1B"/>
    <w:rsid w:val="00842C69"/>
    <w:rsid w:val="00844371"/>
    <w:rsid w:val="00851841"/>
    <w:rsid w:val="00853CE0"/>
    <w:rsid w:val="00856568"/>
    <w:rsid w:val="00856670"/>
    <w:rsid w:val="0085797E"/>
    <w:rsid w:val="00860C05"/>
    <w:rsid w:val="00864B29"/>
    <w:rsid w:val="008670BD"/>
    <w:rsid w:val="00872696"/>
    <w:rsid w:val="00876B2D"/>
    <w:rsid w:val="00877AD9"/>
    <w:rsid w:val="00881FD9"/>
    <w:rsid w:val="008835B2"/>
    <w:rsid w:val="00893021"/>
    <w:rsid w:val="008A33FC"/>
    <w:rsid w:val="008A3D39"/>
    <w:rsid w:val="008A753B"/>
    <w:rsid w:val="008A75E7"/>
    <w:rsid w:val="008B11FC"/>
    <w:rsid w:val="008B12DE"/>
    <w:rsid w:val="008B2BAE"/>
    <w:rsid w:val="008B3E3D"/>
    <w:rsid w:val="008B69EC"/>
    <w:rsid w:val="008D0F20"/>
    <w:rsid w:val="008D3EC3"/>
    <w:rsid w:val="008D645C"/>
    <w:rsid w:val="008E34A8"/>
    <w:rsid w:val="008E6FF8"/>
    <w:rsid w:val="008F18B1"/>
    <w:rsid w:val="008F2E0C"/>
    <w:rsid w:val="008F4AAB"/>
    <w:rsid w:val="008F6B4E"/>
    <w:rsid w:val="00901BE8"/>
    <w:rsid w:val="00903567"/>
    <w:rsid w:val="00903E7C"/>
    <w:rsid w:val="009040FA"/>
    <w:rsid w:val="00904315"/>
    <w:rsid w:val="00913B7D"/>
    <w:rsid w:val="0092394D"/>
    <w:rsid w:val="00926626"/>
    <w:rsid w:val="00931C7A"/>
    <w:rsid w:val="00932A4E"/>
    <w:rsid w:val="00940F40"/>
    <w:rsid w:val="00941984"/>
    <w:rsid w:val="00943440"/>
    <w:rsid w:val="00944482"/>
    <w:rsid w:val="00951B80"/>
    <w:rsid w:val="00952294"/>
    <w:rsid w:val="00952491"/>
    <w:rsid w:val="00961EB6"/>
    <w:rsid w:val="0096208F"/>
    <w:rsid w:val="00970881"/>
    <w:rsid w:val="009765FA"/>
    <w:rsid w:val="00977497"/>
    <w:rsid w:val="009810F4"/>
    <w:rsid w:val="00984E0D"/>
    <w:rsid w:val="0098736B"/>
    <w:rsid w:val="00990903"/>
    <w:rsid w:val="00991725"/>
    <w:rsid w:val="0099236B"/>
    <w:rsid w:val="00992462"/>
    <w:rsid w:val="009928D8"/>
    <w:rsid w:val="00993B93"/>
    <w:rsid w:val="00993FAC"/>
    <w:rsid w:val="0099633F"/>
    <w:rsid w:val="00997E56"/>
    <w:rsid w:val="009A018B"/>
    <w:rsid w:val="009A217B"/>
    <w:rsid w:val="009A3A41"/>
    <w:rsid w:val="009A6CD4"/>
    <w:rsid w:val="009B3443"/>
    <w:rsid w:val="009B3F9C"/>
    <w:rsid w:val="009B4D5B"/>
    <w:rsid w:val="009B7295"/>
    <w:rsid w:val="009C5532"/>
    <w:rsid w:val="009C5BB5"/>
    <w:rsid w:val="009D255E"/>
    <w:rsid w:val="009D43F4"/>
    <w:rsid w:val="009D5065"/>
    <w:rsid w:val="009E30DD"/>
    <w:rsid w:val="009E48F4"/>
    <w:rsid w:val="009F0861"/>
    <w:rsid w:val="009F2503"/>
    <w:rsid w:val="009F3C5D"/>
    <w:rsid w:val="009F43D5"/>
    <w:rsid w:val="009F65A6"/>
    <w:rsid w:val="00A01578"/>
    <w:rsid w:val="00A057DB"/>
    <w:rsid w:val="00A13661"/>
    <w:rsid w:val="00A14DA0"/>
    <w:rsid w:val="00A16A5D"/>
    <w:rsid w:val="00A21731"/>
    <w:rsid w:val="00A26A10"/>
    <w:rsid w:val="00A364D8"/>
    <w:rsid w:val="00A3677B"/>
    <w:rsid w:val="00A400F0"/>
    <w:rsid w:val="00A4577C"/>
    <w:rsid w:val="00A51372"/>
    <w:rsid w:val="00A5178A"/>
    <w:rsid w:val="00A51EAB"/>
    <w:rsid w:val="00A53483"/>
    <w:rsid w:val="00A56ED6"/>
    <w:rsid w:val="00A60C4C"/>
    <w:rsid w:val="00A6331C"/>
    <w:rsid w:val="00A71EDF"/>
    <w:rsid w:val="00A74B87"/>
    <w:rsid w:val="00A753C3"/>
    <w:rsid w:val="00A84615"/>
    <w:rsid w:val="00A85DEC"/>
    <w:rsid w:val="00A862E9"/>
    <w:rsid w:val="00A90C13"/>
    <w:rsid w:val="00A927FF"/>
    <w:rsid w:val="00A93902"/>
    <w:rsid w:val="00AA1E36"/>
    <w:rsid w:val="00AA5CCD"/>
    <w:rsid w:val="00AA66D6"/>
    <w:rsid w:val="00AA6DE3"/>
    <w:rsid w:val="00AB63DA"/>
    <w:rsid w:val="00AD01A1"/>
    <w:rsid w:val="00AD085E"/>
    <w:rsid w:val="00AD0A7D"/>
    <w:rsid w:val="00AD5546"/>
    <w:rsid w:val="00AE2061"/>
    <w:rsid w:val="00AE45B5"/>
    <w:rsid w:val="00AF3CB4"/>
    <w:rsid w:val="00AF40D8"/>
    <w:rsid w:val="00AF5C80"/>
    <w:rsid w:val="00AF62D9"/>
    <w:rsid w:val="00B025C5"/>
    <w:rsid w:val="00B06C4D"/>
    <w:rsid w:val="00B074DE"/>
    <w:rsid w:val="00B10438"/>
    <w:rsid w:val="00B14648"/>
    <w:rsid w:val="00B15A25"/>
    <w:rsid w:val="00B2311F"/>
    <w:rsid w:val="00B267C2"/>
    <w:rsid w:val="00B35350"/>
    <w:rsid w:val="00B416AE"/>
    <w:rsid w:val="00B43618"/>
    <w:rsid w:val="00B449AA"/>
    <w:rsid w:val="00B45525"/>
    <w:rsid w:val="00B466B1"/>
    <w:rsid w:val="00B47268"/>
    <w:rsid w:val="00B47C9B"/>
    <w:rsid w:val="00B51DAB"/>
    <w:rsid w:val="00B55226"/>
    <w:rsid w:val="00B60380"/>
    <w:rsid w:val="00B62930"/>
    <w:rsid w:val="00B629CE"/>
    <w:rsid w:val="00B649B6"/>
    <w:rsid w:val="00B7284B"/>
    <w:rsid w:val="00B81AFE"/>
    <w:rsid w:val="00B84039"/>
    <w:rsid w:val="00B84B12"/>
    <w:rsid w:val="00B90E01"/>
    <w:rsid w:val="00B91E7E"/>
    <w:rsid w:val="00B933DF"/>
    <w:rsid w:val="00BA1503"/>
    <w:rsid w:val="00BA6724"/>
    <w:rsid w:val="00BA6C35"/>
    <w:rsid w:val="00BB1097"/>
    <w:rsid w:val="00BB1920"/>
    <w:rsid w:val="00BB2849"/>
    <w:rsid w:val="00BB4784"/>
    <w:rsid w:val="00BC333D"/>
    <w:rsid w:val="00BD2604"/>
    <w:rsid w:val="00BD2DC2"/>
    <w:rsid w:val="00BD4FB5"/>
    <w:rsid w:val="00BE26FD"/>
    <w:rsid w:val="00BE3939"/>
    <w:rsid w:val="00BE4624"/>
    <w:rsid w:val="00BF341E"/>
    <w:rsid w:val="00BF3AB9"/>
    <w:rsid w:val="00BF4A2B"/>
    <w:rsid w:val="00BF6B68"/>
    <w:rsid w:val="00BF7F73"/>
    <w:rsid w:val="00C05B76"/>
    <w:rsid w:val="00C0616B"/>
    <w:rsid w:val="00C16295"/>
    <w:rsid w:val="00C17300"/>
    <w:rsid w:val="00C214B7"/>
    <w:rsid w:val="00C21C18"/>
    <w:rsid w:val="00C21F79"/>
    <w:rsid w:val="00C30EF3"/>
    <w:rsid w:val="00C32565"/>
    <w:rsid w:val="00C3373F"/>
    <w:rsid w:val="00C40219"/>
    <w:rsid w:val="00C4231C"/>
    <w:rsid w:val="00C45255"/>
    <w:rsid w:val="00C4592A"/>
    <w:rsid w:val="00C524FA"/>
    <w:rsid w:val="00C525F8"/>
    <w:rsid w:val="00C54F13"/>
    <w:rsid w:val="00C54F81"/>
    <w:rsid w:val="00C55E22"/>
    <w:rsid w:val="00C567D3"/>
    <w:rsid w:val="00C65520"/>
    <w:rsid w:val="00C66E1B"/>
    <w:rsid w:val="00C71E7B"/>
    <w:rsid w:val="00C71EB6"/>
    <w:rsid w:val="00C75309"/>
    <w:rsid w:val="00C7530F"/>
    <w:rsid w:val="00C763E0"/>
    <w:rsid w:val="00C816E4"/>
    <w:rsid w:val="00C82466"/>
    <w:rsid w:val="00C86D8C"/>
    <w:rsid w:val="00C9371B"/>
    <w:rsid w:val="00C95A18"/>
    <w:rsid w:val="00C96C94"/>
    <w:rsid w:val="00CA3BD5"/>
    <w:rsid w:val="00CA42FC"/>
    <w:rsid w:val="00CA7401"/>
    <w:rsid w:val="00CB32C6"/>
    <w:rsid w:val="00CB35C2"/>
    <w:rsid w:val="00CB5665"/>
    <w:rsid w:val="00CC16EB"/>
    <w:rsid w:val="00CC2073"/>
    <w:rsid w:val="00CC26CA"/>
    <w:rsid w:val="00CC2E7F"/>
    <w:rsid w:val="00CC3083"/>
    <w:rsid w:val="00CC6869"/>
    <w:rsid w:val="00CD123E"/>
    <w:rsid w:val="00CD3020"/>
    <w:rsid w:val="00CD5E61"/>
    <w:rsid w:val="00CE415D"/>
    <w:rsid w:val="00CE416E"/>
    <w:rsid w:val="00CE4358"/>
    <w:rsid w:val="00CE6089"/>
    <w:rsid w:val="00CF1E51"/>
    <w:rsid w:val="00CF367D"/>
    <w:rsid w:val="00CF5DEE"/>
    <w:rsid w:val="00D01AE6"/>
    <w:rsid w:val="00D04FD7"/>
    <w:rsid w:val="00D076A6"/>
    <w:rsid w:val="00D1185E"/>
    <w:rsid w:val="00D2303B"/>
    <w:rsid w:val="00D338B7"/>
    <w:rsid w:val="00D3398E"/>
    <w:rsid w:val="00D400BA"/>
    <w:rsid w:val="00D40EE9"/>
    <w:rsid w:val="00D44E55"/>
    <w:rsid w:val="00D51370"/>
    <w:rsid w:val="00D52F01"/>
    <w:rsid w:val="00D566EA"/>
    <w:rsid w:val="00D566F2"/>
    <w:rsid w:val="00D57DDA"/>
    <w:rsid w:val="00D60849"/>
    <w:rsid w:val="00D6506F"/>
    <w:rsid w:val="00D67F70"/>
    <w:rsid w:val="00D7154E"/>
    <w:rsid w:val="00D80A2B"/>
    <w:rsid w:val="00D825AD"/>
    <w:rsid w:val="00D84879"/>
    <w:rsid w:val="00D90636"/>
    <w:rsid w:val="00D92435"/>
    <w:rsid w:val="00D9396D"/>
    <w:rsid w:val="00D97322"/>
    <w:rsid w:val="00DA081D"/>
    <w:rsid w:val="00DA2EE9"/>
    <w:rsid w:val="00DB13DE"/>
    <w:rsid w:val="00DB4956"/>
    <w:rsid w:val="00DB4D60"/>
    <w:rsid w:val="00DB6D96"/>
    <w:rsid w:val="00DC000D"/>
    <w:rsid w:val="00DC094F"/>
    <w:rsid w:val="00DC15CF"/>
    <w:rsid w:val="00DC281C"/>
    <w:rsid w:val="00DC7A14"/>
    <w:rsid w:val="00DD0E89"/>
    <w:rsid w:val="00DD4156"/>
    <w:rsid w:val="00DE3C08"/>
    <w:rsid w:val="00DF13B7"/>
    <w:rsid w:val="00DF2730"/>
    <w:rsid w:val="00DF2D89"/>
    <w:rsid w:val="00DF6047"/>
    <w:rsid w:val="00DF6AFA"/>
    <w:rsid w:val="00DF74B7"/>
    <w:rsid w:val="00E01F77"/>
    <w:rsid w:val="00E0367A"/>
    <w:rsid w:val="00E06958"/>
    <w:rsid w:val="00E07809"/>
    <w:rsid w:val="00E14750"/>
    <w:rsid w:val="00E156AE"/>
    <w:rsid w:val="00E177BE"/>
    <w:rsid w:val="00E17827"/>
    <w:rsid w:val="00E201A6"/>
    <w:rsid w:val="00E20A6B"/>
    <w:rsid w:val="00E25656"/>
    <w:rsid w:val="00E27DCC"/>
    <w:rsid w:val="00E34BC9"/>
    <w:rsid w:val="00E3531E"/>
    <w:rsid w:val="00E356AC"/>
    <w:rsid w:val="00E36CFC"/>
    <w:rsid w:val="00E378E3"/>
    <w:rsid w:val="00E404EE"/>
    <w:rsid w:val="00E405B4"/>
    <w:rsid w:val="00E41248"/>
    <w:rsid w:val="00E425DA"/>
    <w:rsid w:val="00E43B28"/>
    <w:rsid w:val="00E45A0B"/>
    <w:rsid w:val="00E54F8C"/>
    <w:rsid w:val="00E61228"/>
    <w:rsid w:val="00E6401D"/>
    <w:rsid w:val="00E641F5"/>
    <w:rsid w:val="00E670DE"/>
    <w:rsid w:val="00E67945"/>
    <w:rsid w:val="00E70C75"/>
    <w:rsid w:val="00E71FBD"/>
    <w:rsid w:val="00E74748"/>
    <w:rsid w:val="00E758A7"/>
    <w:rsid w:val="00E75CA1"/>
    <w:rsid w:val="00E760A6"/>
    <w:rsid w:val="00E85514"/>
    <w:rsid w:val="00E93602"/>
    <w:rsid w:val="00E94B92"/>
    <w:rsid w:val="00E95132"/>
    <w:rsid w:val="00E969F7"/>
    <w:rsid w:val="00EA25B0"/>
    <w:rsid w:val="00EA6F7E"/>
    <w:rsid w:val="00EB0632"/>
    <w:rsid w:val="00EB34DF"/>
    <w:rsid w:val="00EB50F7"/>
    <w:rsid w:val="00EB57D7"/>
    <w:rsid w:val="00EC557E"/>
    <w:rsid w:val="00ED3660"/>
    <w:rsid w:val="00ED7B01"/>
    <w:rsid w:val="00EE1730"/>
    <w:rsid w:val="00EE475C"/>
    <w:rsid w:val="00EE6ACB"/>
    <w:rsid w:val="00EE70CB"/>
    <w:rsid w:val="00EE7348"/>
    <w:rsid w:val="00EE75BB"/>
    <w:rsid w:val="00EF56C5"/>
    <w:rsid w:val="00F0479F"/>
    <w:rsid w:val="00F05CF1"/>
    <w:rsid w:val="00F10EE8"/>
    <w:rsid w:val="00F1325F"/>
    <w:rsid w:val="00F15E29"/>
    <w:rsid w:val="00F164DD"/>
    <w:rsid w:val="00F2054D"/>
    <w:rsid w:val="00F22A0B"/>
    <w:rsid w:val="00F25100"/>
    <w:rsid w:val="00F2576B"/>
    <w:rsid w:val="00F2678C"/>
    <w:rsid w:val="00F30CAB"/>
    <w:rsid w:val="00F37EE9"/>
    <w:rsid w:val="00F4478F"/>
    <w:rsid w:val="00F46CD8"/>
    <w:rsid w:val="00F50B19"/>
    <w:rsid w:val="00F5129B"/>
    <w:rsid w:val="00F5612E"/>
    <w:rsid w:val="00F57E01"/>
    <w:rsid w:val="00F61450"/>
    <w:rsid w:val="00F61787"/>
    <w:rsid w:val="00F646F0"/>
    <w:rsid w:val="00F666C9"/>
    <w:rsid w:val="00F71564"/>
    <w:rsid w:val="00F774B9"/>
    <w:rsid w:val="00F776D0"/>
    <w:rsid w:val="00F879F2"/>
    <w:rsid w:val="00F91FC3"/>
    <w:rsid w:val="00F94F5A"/>
    <w:rsid w:val="00F953B6"/>
    <w:rsid w:val="00FA236C"/>
    <w:rsid w:val="00FA2AEE"/>
    <w:rsid w:val="00FA6439"/>
    <w:rsid w:val="00FA791D"/>
    <w:rsid w:val="00FB060B"/>
    <w:rsid w:val="00FB365B"/>
    <w:rsid w:val="00FB57BB"/>
    <w:rsid w:val="00FC4020"/>
    <w:rsid w:val="00FC69B5"/>
    <w:rsid w:val="00FC77CE"/>
    <w:rsid w:val="00FD4D2E"/>
    <w:rsid w:val="00FD4F0A"/>
    <w:rsid w:val="00FD530C"/>
    <w:rsid w:val="00FD6D2F"/>
    <w:rsid w:val="00FD6F7D"/>
    <w:rsid w:val="00FE4FDA"/>
    <w:rsid w:val="00FE6693"/>
    <w:rsid w:val="00FE674D"/>
    <w:rsid w:val="00FF1ECD"/>
    <w:rsid w:val="00FF4B36"/>
    <w:rsid w:val="00FF68E1"/>
    <w:rsid w:val="00FF749A"/>
    <w:rsid w:val="0198854A"/>
    <w:rsid w:val="0CA44BF8"/>
    <w:rsid w:val="0D269C3B"/>
    <w:rsid w:val="0EDF3D87"/>
    <w:rsid w:val="1206A2B0"/>
    <w:rsid w:val="1A972728"/>
    <w:rsid w:val="1C2E0C49"/>
    <w:rsid w:val="1D222A80"/>
    <w:rsid w:val="1F9AE7E7"/>
    <w:rsid w:val="204714C9"/>
    <w:rsid w:val="22174F75"/>
    <w:rsid w:val="2404B954"/>
    <w:rsid w:val="2C2C9CAE"/>
    <w:rsid w:val="2E51F8F3"/>
    <w:rsid w:val="2ED2CABF"/>
    <w:rsid w:val="3A98BE57"/>
    <w:rsid w:val="3BCA4973"/>
    <w:rsid w:val="421EA4A6"/>
    <w:rsid w:val="46F27FA0"/>
    <w:rsid w:val="49D28C16"/>
    <w:rsid w:val="4EC53C32"/>
    <w:rsid w:val="5B14ADE0"/>
    <w:rsid w:val="5B8165EC"/>
    <w:rsid w:val="5C27B248"/>
    <w:rsid w:val="63315568"/>
    <w:rsid w:val="63398860"/>
    <w:rsid w:val="65DC8032"/>
    <w:rsid w:val="670BE971"/>
    <w:rsid w:val="6A2C1D58"/>
    <w:rsid w:val="6A5BBB7A"/>
    <w:rsid w:val="72EE1ECD"/>
    <w:rsid w:val="78AFCE48"/>
    <w:rsid w:val="7F87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docId w15:val="{07190DAE-95CE-4DA4-AF98-1AB38DF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567"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1E11AF"/>
    <w:pPr>
      <w:ind w:left="720"/>
      <w:contextualSpacing/>
    </w:pPr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02491F"/>
  </w:style>
  <w:style w:type="paragraph" w:customStyle="1" w:styleId="TableParagraph">
    <w:name w:val="Table Paragraph"/>
    <w:basedOn w:val="Normal"/>
    <w:uiPriority w:val="1"/>
    <w:qFormat/>
    <w:rsid w:val="004039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01693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47C9B"/>
  </w:style>
  <w:style w:type="character" w:customStyle="1" w:styleId="ui-provider">
    <w:name w:val="ui-provider"/>
    <w:basedOn w:val="DefaultParagraphFont"/>
    <w:rsid w:val="00C82466"/>
  </w:style>
  <w:style w:type="paragraph" w:styleId="Revision">
    <w:name w:val="Revision"/>
    <w:hidden/>
    <w:uiPriority w:val="99"/>
    <w:semiHidden/>
    <w:rsid w:val="009B4D5B"/>
    <w:pPr>
      <w:spacing w:after="0" w:line="240" w:lineRule="auto"/>
    </w:pPr>
  </w:style>
  <w:style w:type="paragraph" w:customStyle="1" w:styleId="pf0">
    <w:name w:val="pf0"/>
    <w:basedOn w:val="Normal"/>
    <w:rsid w:val="00D5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D52F01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97749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984E0D"/>
    <w:pPr>
      <w:spacing w:after="0" w:line="240" w:lineRule="auto"/>
    </w:pPr>
    <w:rPr>
      <w:rFonts w:ascii="Arial" w:eastAsiaTheme="minorEastAsia" w:hAnsi="Arial" w:cs="Arial"/>
      <w:sz w:val="24"/>
      <w:szCs w:val="24"/>
      <w:lang w:eastAsia="ja-JP"/>
    </w:rPr>
  </w:style>
  <w:style w:type="character" w:customStyle="1" w:styleId="eop">
    <w:name w:val="eop"/>
    <w:basedOn w:val="DefaultParagraphFont"/>
    <w:rsid w:val="00E34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2323</Words>
  <Characters>13243</Characters>
  <Application>Microsoft Office Word</Application>
  <DocSecurity>8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Elwood, Jayne</cp:lastModifiedBy>
  <cp:revision>10</cp:revision>
  <cp:lastPrinted>2020-02-14T13:30:00Z</cp:lastPrinted>
  <dcterms:created xsi:type="dcterms:W3CDTF">2023-11-21T15:28:00Z</dcterms:created>
  <dcterms:modified xsi:type="dcterms:W3CDTF">2024-05-15T16:26:00Z</dcterms:modified>
  <cp:contentStatus/>
</cp:coreProperties>
</file>