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03"/>
        <w:gridCol w:w="1559"/>
      </w:tblGrid>
      <w:tr w:rsidR="008A753B" w:rsidRPr="008A753B" w14:paraId="2A4DDC6B" w14:textId="77777777" w:rsidTr="3A98BE57"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481D1477" w:rsidR="0000042C" w:rsidRPr="008A753B" w:rsidRDefault="00A71EDF" w:rsidP="00AA5CC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7326BE">
              <w:rPr>
                <w:b/>
                <w:bCs/>
                <w:sz w:val="24"/>
                <w:szCs w:val="24"/>
              </w:rPr>
              <w:t>1</w:t>
            </w:r>
            <w:r w:rsidR="00942EF8">
              <w:rPr>
                <w:b/>
                <w:bCs/>
                <w:sz w:val="24"/>
                <w:szCs w:val="24"/>
              </w:rPr>
              <w:t xml:space="preserve"> MA</w:t>
            </w:r>
            <w:r w:rsidR="007326BE">
              <w:rPr>
                <w:b/>
                <w:bCs/>
                <w:sz w:val="24"/>
                <w:szCs w:val="24"/>
              </w:rPr>
              <w:t>Y</w:t>
            </w:r>
            <w:r w:rsidR="00942EF8">
              <w:rPr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8A753B" w:rsidRPr="008A753B" w14:paraId="648655F8" w14:textId="77777777" w:rsidTr="3A98BE57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0000665F" w:rsidR="0056628D" w:rsidRPr="008A753B" w:rsidRDefault="0056628D" w:rsidP="000C3EDD">
            <w:pPr>
              <w:pStyle w:val="Heading2"/>
              <w:rPr>
                <w:b w:val="0"/>
              </w:rPr>
            </w:pPr>
            <w:r w:rsidRPr="008A753B">
              <w:t>PRESENT:</w:t>
            </w:r>
          </w:p>
        </w:tc>
      </w:tr>
      <w:tr w:rsidR="00864B29" w:rsidRPr="008A753B" w14:paraId="55D3FC8D" w14:textId="77777777" w:rsidTr="3A98BE57">
        <w:tc>
          <w:tcPr>
            <w:tcW w:w="5245" w:type="dxa"/>
            <w:tcBorders>
              <w:top w:val="single" w:sz="4" w:space="0" w:color="auto"/>
            </w:tcBorders>
          </w:tcPr>
          <w:p w14:paraId="3D959F2F" w14:textId="54B912E0" w:rsidR="00864B29" w:rsidRPr="00362DE5" w:rsidRDefault="00A93902" w:rsidP="00942EF8">
            <w:pPr>
              <w:spacing w:before="60" w:after="60"/>
              <w:rPr>
                <w:sz w:val="24"/>
                <w:szCs w:val="24"/>
              </w:rPr>
            </w:pPr>
            <w:r w:rsidRPr="00362DE5">
              <w:rPr>
                <w:sz w:val="24"/>
                <w:szCs w:val="24"/>
              </w:rPr>
              <w:t xml:space="preserve">John Cowling </w:t>
            </w:r>
            <w:r w:rsidR="00864B29" w:rsidRPr="00362DE5">
              <w:rPr>
                <w:sz w:val="24"/>
                <w:szCs w:val="24"/>
              </w:rPr>
              <w:t>(Chair)</w:t>
            </w:r>
            <w:r w:rsidR="00103702" w:rsidRPr="00362D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</w:tcBorders>
          </w:tcPr>
          <w:p w14:paraId="30089F4C" w14:textId="5FD211F3" w:rsidR="00864B29" w:rsidRPr="00362DE5" w:rsidRDefault="00362DE5" w:rsidP="00942EF8">
            <w:pPr>
              <w:spacing w:before="60" w:after="60"/>
              <w:rPr>
                <w:sz w:val="24"/>
                <w:szCs w:val="24"/>
              </w:rPr>
            </w:pPr>
            <w:r w:rsidRPr="00362DE5">
              <w:rPr>
                <w:bCs/>
                <w:sz w:val="24"/>
                <w:szCs w:val="24"/>
              </w:rPr>
              <w:t>Janet Onyia</w:t>
            </w:r>
          </w:p>
        </w:tc>
      </w:tr>
      <w:tr w:rsidR="00103702" w:rsidRPr="008A753B" w14:paraId="390C3619" w14:textId="77777777" w:rsidTr="000D02D5">
        <w:trPr>
          <w:trHeight w:val="63"/>
        </w:trPr>
        <w:tc>
          <w:tcPr>
            <w:tcW w:w="5245" w:type="dxa"/>
          </w:tcPr>
          <w:p w14:paraId="2E0B4B40" w14:textId="4E617269" w:rsidR="00103702" w:rsidRPr="00362DE5" w:rsidRDefault="000D02D5" w:rsidP="00942EF8">
            <w:pPr>
              <w:spacing w:before="60" w:after="60"/>
              <w:rPr>
                <w:sz w:val="24"/>
                <w:szCs w:val="24"/>
              </w:rPr>
            </w:pPr>
            <w:r w:rsidRPr="00362DE5">
              <w:rPr>
                <w:bCs/>
                <w:sz w:val="24"/>
                <w:szCs w:val="24"/>
              </w:rPr>
              <w:t>Carol Bernard</w:t>
            </w:r>
            <w:r w:rsidR="00D7567D" w:rsidRPr="00362DE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0252AEE5" w14:textId="79D341EB" w:rsidR="00103702" w:rsidRPr="00362DE5" w:rsidRDefault="00362DE5" w:rsidP="00942EF8">
            <w:pPr>
              <w:spacing w:before="60" w:after="60"/>
              <w:rPr>
                <w:sz w:val="24"/>
                <w:szCs w:val="24"/>
              </w:rPr>
            </w:pPr>
            <w:r w:rsidRPr="00362DE5">
              <w:rPr>
                <w:bCs/>
                <w:sz w:val="24"/>
                <w:szCs w:val="24"/>
              </w:rPr>
              <w:t>Giles Searby</w:t>
            </w:r>
          </w:p>
        </w:tc>
      </w:tr>
      <w:tr w:rsidR="00362DE5" w:rsidRPr="008A753B" w14:paraId="2034656D" w14:textId="77777777" w:rsidTr="000D02D5">
        <w:trPr>
          <w:trHeight w:val="63"/>
        </w:trPr>
        <w:tc>
          <w:tcPr>
            <w:tcW w:w="5245" w:type="dxa"/>
          </w:tcPr>
          <w:p w14:paraId="347A4968" w14:textId="2278F158" w:rsidR="00362DE5" w:rsidRPr="00362DE5" w:rsidRDefault="00362DE5" w:rsidP="00942EF8">
            <w:pPr>
              <w:spacing w:before="60" w:after="60"/>
              <w:rPr>
                <w:bCs/>
                <w:sz w:val="24"/>
                <w:szCs w:val="24"/>
              </w:rPr>
            </w:pPr>
            <w:r w:rsidRPr="00362DE5">
              <w:rPr>
                <w:bCs/>
                <w:sz w:val="24"/>
                <w:szCs w:val="24"/>
              </w:rPr>
              <w:t>Gabrielle Berring</w:t>
            </w:r>
          </w:p>
        </w:tc>
        <w:tc>
          <w:tcPr>
            <w:tcW w:w="4962" w:type="dxa"/>
            <w:gridSpan w:val="2"/>
          </w:tcPr>
          <w:p w14:paraId="525EF6F1" w14:textId="4EC3120C" w:rsidR="00362DE5" w:rsidRPr="00362DE5" w:rsidRDefault="00362DE5" w:rsidP="00942EF8">
            <w:pPr>
              <w:spacing w:before="60" w:after="60"/>
              <w:rPr>
                <w:sz w:val="24"/>
                <w:szCs w:val="24"/>
              </w:rPr>
            </w:pPr>
            <w:r w:rsidRPr="00362DE5">
              <w:rPr>
                <w:sz w:val="24"/>
                <w:szCs w:val="24"/>
              </w:rPr>
              <w:t>Tim Smith</w:t>
            </w:r>
          </w:p>
        </w:tc>
      </w:tr>
      <w:tr w:rsidR="00B90E01" w:rsidRPr="008A753B" w14:paraId="1B723133" w14:textId="77777777" w:rsidTr="3A98BE57">
        <w:tc>
          <w:tcPr>
            <w:tcW w:w="5245" w:type="dxa"/>
          </w:tcPr>
          <w:p w14:paraId="25434675" w14:textId="2291AAC0" w:rsidR="00B90E01" w:rsidRPr="00362DE5" w:rsidRDefault="007326BE" w:rsidP="00942EF8">
            <w:pPr>
              <w:spacing w:before="60" w:after="60"/>
              <w:rPr>
                <w:sz w:val="24"/>
                <w:szCs w:val="24"/>
              </w:rPr>
            </w:pPr>
            <w:r w:rsidRPr="00362DE5">
              <w:rPr>
                <w:sz w:val="24"/>
                <w:szCs w:val="24"/>
              </w:rPr>
              <w:t>Professor Liz Mossop</w:t>
            </w:r>
          </w:p>
        </w:tc>
        <w:tc>
          <w:tcPr>
            <w:tcW w:w="4962" w:type="dxa"/>
            <w:gridSpan w:val="2"/>
          </w:tcPr>
          <w:p w14:paraId="20F2BE10" w14:textId="7DC092F1" w:rsidR="00B90E01" w:rsidRPr="00362DE5" w:rsidRDefault="00B90E01" w:rsidP="00942EF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864B29" w:rsidRPr="008A753B" w14:paraId="70E71BC7" w14:textId="77777777" w:rsidTr="007326BE">
        <w:tc>
          <w:tcPr>
            <w:tcW w:w="86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864B29" w:rsidRPr="008A753B" w:rsidRDefault="00864B29" w:rsidP="00864B29">
            <w:pPr>
              <w:pStyle w:val="Heading2"/>
            </w:pPr>
            <w:r w:rsidRPr="008A753B">
              <w:t>IN ATTE</w:t>
            </w:r>
            <w:r>
              <w:t>N</w:t>
            </w:r>
            <w:r w:rsidRPr="008A753B">
              <w:t>DANCE: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864B29" w:rsidRPr="008A753B" w:rsidRDefault="00864B29" w:rsidP="007326BE">
            <w:pPr>
              <w:pStyle w:val="Heading2"/>
              <w:ind w:left="-57" w:right="-57"/>
            </w:pPr>
            <w:r w:rsidRPr="008A753B">
              <w:t>AGENDA ITEM</w:t>
            </w:r>
          </w:p>
        </w:tc>
      </w:tr>
      <w:tr w:rsidR="007326BE" w:rsidRPr="008A753B" w14:paraId="792E0B0F" w14:textId="77777777" w:rsidTr="007326BE">
        <w:trPr>
          <w:trHeight w:val="273"/>
        </w:trPr>
        <w:tc>
          <w:tcPr>
            <w:tcW w:w="8648" w:type="dxa"/>
            <w:gridSpan w:val="2"/>
            <w:tcBorders>
              <w:top w:val="single" w:sz="4" w:space="0" w:color="auto"/>
            </w:tcBorders>
          </w:tcPr>
          <w:p w14:paraId="1B475B60" w14:textId="039F18E1" w:rsidR="007326BE" w:rsidRPr="008A753B" w:rsidRDefault="007326BE" w:rsidP="007326B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Hulme, Director of Human Resources and Organisational Development (HROD</w:t>
            </w:r>
            <w:r w:rsidR="00E96D61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B89311E" w14:textId="2C1062F7" w:rsidR="007326BE" w:rsidRPr="008A753B" w:rsidRDefault="007326BE" w:rsidP="007326B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7326BE" w:rsidRPr="008A753B" w14:paraId="7AEDBEB6" w14:textId="77777777" w:rsidTr="007326BE">
        <w:trPr>
          <w:trHeight w:val="148"/>
        </w:trPr>
        <w:tc>
          <w:tcPr>
            <w:tcW w:w="8648" w:type="dxa"/>
            <w:gridSpan w:val="2"/>
          </w:tcPr>
          <w:p w14:paraId="1D3F65F6" w14:textId="11733957" w:rsidR="007326BE" w:rsidRDefault="007326BE" w:rsidP="007326B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Keyworth, Chief Finance Officer (CFO)</w:t>
            </w:r>
          </w:p>
        </w:tc>
        <w:tc>
          <w:tcPr>
            <w:tcW w:w="1559" w:type="dxa"/>
          </w:tcPr>
          <w:p w14:paraId="24375CBF" w14:textId="0C6B6AE4" w:rsidR="007326BE" w:rsidRDefault="007326BE" w:rsidP="007326B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7326BE" w:rsidRPr="008A753B" w14:paraId="58F7750F" w14:textId="77777777" w:rsidTr="007326BE">
        <w:tc>
          <w:tcPr>
            <w:tcW w:w="8648" w:type="dxa"/>
            <w:gridSpan w:val="2"/>
          </w:tcPr>
          <w:p w14:paraId="0C1788E7" w14:textId="4861AAE8" w:rsidR="007326BE" w:rsidRPr="008A753B" w:rsidRDefault="007326BE" w:rsidP="007326B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 Marlow, University Secretary</w:t>
            </w:r>
          </w:p>
        </w:tc>
        <w:tc>
          <w:tcPr>
            <w:tcW w:w="1559" w:type="dxa"/>
          </w:tcPr>
          <w:p w14:paraId="7DEBC527" w14:textId="65E673AD" w:rsidR="007326BE" w:rsidRPr="008A753B" w:rsidRDefault="007326BE" w:rsidP="007326B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7326BE" w:rsidRPr="008A753B" w14:paraId="432F22D4" w14:textId="77777777" w:rsidTr="007326BE">
        <w:tc>
          <w:tcPr>
            <w:tcW w:w="8648" w:type="dxa"/>
            <w:gridSpan w:val="2"/>
          </w:tcPr>
          <w:p w14:paraId="4972508D" w14:textId="43BF7689" w:rsidR="007326BE" w:rsidRDefault="007326BE" w:rsidP="007326B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 Rawlins, Group Director, Recruitment, Communications &amp; Marketing (GDRCM)</w:t>
            </w:r>
          </w:p>
        </w:tc>
        <w:tc>
          <w:tcPr>
            <w:tcW w:w="1559" w:type="dxa"/>
          </w:tcPr>
          <w:p w14:paraId="41891673" w14:textId="62C73A16" w:rsidR="007326BE" w:rsidRDefault="007326BE" w:rsidP="007326B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6 and 7</w:t>
            </w:r>
          </w:p>
        </w:tc>
      </w:tr>
      <w:tr w:rsidR="00F86D8B" w:rsidRPr="008A753B" w14:paraId="5168E55A" w14:textId="77777777" w:rsidTr="007326BE">
        <w:tc>
          <w:tcPr>
            <w:tcW w:w="8648" w:type="dxa"/>
            <w:gridSpan w:val="2"/>
          </w:tcPr>
          <w:p w14:paraId="463CF20C" w14:textId="4F912E22" w:rsidR="00F86D8B" w:rsidRDefault="002E2F5C" w:rsidP="007326B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Professor </w:t>
            </w:r>
            <w:r w:rsidR="00F86D8B">
              <w:rPr>
                <w:sz w:val="24"/>
                <w:szCs w:val="24"/>
              </w:rPr>
              <w:t>David Shepherd, Deputy Vice-Chancellor, Academic (DVCA)</w:t>
            </w:r>
          </w:p>
        </w:tc>
        <w:tc>
          <w:tcPr>
            <w:tcW w:w="1559" w:type="dxa"/>
          </w:tcPr>
          <w:p w14:paraId="2B1EA33B" w14:textId="15BD040A" w:rsidR="00F86D8B" w:rsidRDefault="00F86D8B" w:rsidP="007326B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7326BE" w:rsidRPr="008A753B" w14:paraId="2ABABB21" w14:textId="77777777" w:rsidTr="007326BE">
        <w:tc>
          <w:tcPr>
            <w:tcW w:w="8648" w:type="dxa"/>
            <w:gridSpan w:val="2"/>
          </w:tcPr>
          <w:p w14:paraId="47EE1CA3" w14:textId="7B74B68A" w:rsidR="007326BE" w:rsidRPr="008A753B" w:rsidRDefault="007326BE" w:rsidP="007326B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Tracey Taylor, Committee Secretary</w:t>
            </w:r>
          </w:p>
        </w:tc>
        <w:tc>
          <w:tcPr>
            <w:tcW w:w="1559" w:type="dxa"/>
          </w:tcPr>
          <w:p w14:paraId="14CD802B" w14:textId="465CBB09" w:rsidR="007326BE" w:rsidRPr="008A753B" w:rsidRDefault="007326BE" w:rsidP="007326B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</w:p>
        </w:tc>
      </w:tr>
      <w:tr w:rsidR="007326BE" w:rsidRPr="008A753B" w14:paraId="6EE17534" w14:textId="77777777" w:rsidTr="00362DE5">
        <w:trPr>
          <w:trHeight w:val="80"/>
        </w:trPr>
        <w:tc>
          <w:tcPr>
            <w:tcW w:w="8648" w:type="dxa"/>
            <w:gridSpan w:val="2"/>
          </w:tcPr>
          <w:p w14:paraId="3D5C4872" w14:textId="56FE5592" w:rsidR="007326BE" w:rsidRPr="008A753B" w:rsidRDefault="007326BE" w:rsidP="007326BE">
            <w:pPr>
              <w:tabs>
                <w:tab w:val="left" w:pos="5890"/>
              </w:tabs>
              <w:spacing w:before="60" w:after="60"/>
              <w:rPr>
                <w:sz w:val="24"/>
                <w:szCs w:val="24"/>
              </w:rPr>
            </w:pPr>
            <w:r w:rsidRPr="3A98BE57">
              <w:rPr>
                <w:sz w:val="24"/>
                <w:szCs w:val="24"/>
              </w:rPr>
              <w:t xml:space="preserve">Libby Wilson, </w:t>
            </w:r>
            <w:r>
              <w:rPr>
                <w:sz w:val="24"/>
                <w:szCs w:val="24"/>
              </w:rPr>
              <w:t>Interim Chief Operating Officer</w:t>
            </w:r>
            <w:r w:rsidRPr="3A98BE5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COO)</w:t>
            </w:r>
          </w:p>
        </w:tc>
        <w:tc>
          <w:tcPr>
            <w:tcW w:w="1559" w:type="dxa"/>
          </w:tcPr>
          <w:p w14:paraId="18542378" w14:textId="48170B09" w:rsidR="007326BE" w:rsidRPr="008A753B" w:rsidRDefault="007326BE" w:rsidP="007326B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7326BE" w:rsidRPr="008A753B" w14:paraId="1EE88C2D" w14:textId="77777777" w:rsidTr="3A98BE57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34F85357" w:rsidR="007326BE" w:rsidRPr="008A753B" w:rsidRDefault="007326BE" w:rsidP="007326BE">
            <w:pPr>
              <w:pStyle w:val="Heading2"/>
            </w:pPr>
            <w:r w:rsidRPr="008A753B">
              <w:t xml:space="preserve">APOLOGIES: </w:t>
            </w:r>
            <w:r w:rsidR="0099339A" w:rsidRPr="0099339A">
              <w:rPr>
                <w:b w:val="0"/>
                <w:bCs/>
              </w:rPr>
              <w:t>There were no apologies.</w:t>
            </w:r>
          </w:p>
        </w:tc>
      </w:tr>
    </w:tbl>
    <w:p w14:paraId="2B637C90" w14:textId="207E3F35" w:rsidR="0000042C" w:rsidRPr="008A753B" w:rsidRDefault="0000042C" w:rsidP="00CF367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207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229"/>
        <w:gridCol w:w="2268"/>
      </w:tblGrid>
      <w:tr w:rsidR="00A362D0" w:rsidRPr="008A753B" w14:paraId="126299E9" w14:textId="77777777" w:rsidTr="6D45CE17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7F10743B" w:rsidR="00A362D0" w:rsidRPr="00053161" w:rsidRDefault="00A362D0" w:rsidP="00013AC8">
            <w:pPr>
              <w:pStyle w:val="Heading3"/>
              <w:spacing w:before="60" w:after="60"/>
              <w:ind w:left="-57" w:right="-113"/>
              <w:rPr>
                <w:sz w:val="20"/>
                <w:szCs w:val="20"/>
              </w:rPr>
            </w:pPr>
            <w:r w:rsidRPr="00053161">
              <w:rPr>
                <w:b/>
                <w:sz w:val="20"/>
                <w:szCs w:val="20"/>
              </w:rPr>
              <w:t xml:space="preserve">Minute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1E53ED38" w:rsidR="00A362D0" w:rsidRPr="002D430D" w:rsidRDefault="00A362D0" w:rsidP="00A362D0">
            <w:pPr>
              <w:pStyle w:val="Heading2"/>
            </w:pPr>
            <w:r w:rsidRPr="00A362D0">
              <w:rPr>
                <w:sz w:val="20"/>
                <w:szCs w:val="20"/>
              </w:rPr>
              <w:t>Item of Business</w:t>
            </w:r>
          </w:p>
        </w:tc>
      </w:tr>
      <w:tr w:rsidR="00A51167" w:rsidRPr="008A753B" w14:paraId="1F67B079" w14:textId="77777777" w:rsidTr="6D45CE17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6A2D873B" w:rsidR="00A51167" w:rsidRPr="00A362D0" w:rsidRDefault="00A51167" w:rsidP="00013AC8">
            <w:pPr>
              <w:pStyle w:val="Heading3"/>
              <w:spacing w:before="60" w:after="60"/>
              <w:ind w:left="-57" w:right="-57"/>
              <w:rPr>
                <w:b/>
                <w:bCs/>
                <w:sz w:val="24"/>
              </w:rPr>
            </w:pPr>
            <w:r w:rsidRPr="00053161">
              <w:rPr>
                <w:b/>
                <w:sz w:val="24"/>
              </w:rPr>
              <w:t>DECLARATIONS OF INTEREST</w:t>
            </w:r>
          </w:p>
        </w:tc>
      </w:tr>
      <w:tr w:rsidR="008A753B" w:rsidRPr="008A753B" w14:paraId="42DADC77" w14:textId="77777777" w:rsidTr="6D45CE17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6D97050D" w:rsidR="00A84615" w:rsidRPr="008A753B" w:rsidRDefault="00392682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1</w:t>
            </w:r>
            <w:r w:rsidR="00A84615" w:rsidRPr="008A753B">
              <w:rPr>
                <w:sz w:val="24"/>
                <w:szCs w:val="24"/>
              </w:rPr>
              <w:t>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C8584" w14:textId="3B00515E" w:rsidR="00C54F81" w:rsidRPr="008A753B" w:rsidRDefault="009F0C82" w:rsidP="008107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were no declarations of interest.</w:t>
            </w:r>
          </w:p>
        </w:tc>
      </w:tr>
      <w:tr w:rsidR="00A51167" w:rsidRPr="008A753B" w14:paraId="4118F7A3" w14:textId="77777777" w:rsidTr="6D45CE17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30981017" w:rsidR="00A51167" w:rsidRPr="003A56C1" w:rsidRDefault="00A51167" w:rsidP="000E1EF4">
            <w:pPr>
              <w:pStyle w:val="Heading3"/>
              <w:spacing w:before="60" w:after="60"/>
              <w:ind w:left="-57" w:right="-57"/>
              <w:rPr>
                <w:sz w:val="20"/>
                <w:szCs w:val="20"/>
              </w:rPr>
            </w:pPr>
            <w:r w:rsidRPr="00053161">
              <w:rPr>
                <w:b/>
                <w:sz w:val="24"/>
              </w:rPr>
              <w:t>CHAIR’S BUSINESS</w:t>
            </w:r>
          </w:p>
        </w:tc>
      </w:tr>
      <w:tr w:rsidR="008A753B" w:rsidRPr="008A753B" w14:paraId="45E5AE98" w14:textId="77777777" w:rsidTr="6D45CE17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7B3F545" w14:textId="04C71F39" w:rsidR="00392682" w:rsidRPr="008A753B" w:rsidRDefault="003A56C1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2682" w:rsidRPr="008A753B">
              <w:rPr>
                <w:sz w:val="24"/>
                <w:szCs w:val="24"/>
              </w:rPr>
              <w:t>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nil"/>
            </w:tcBorders>
          </w:tcPr>
          <w:p w14:paraId="0DD52B2A" w14:textId="48490625" w:rsidR="003027CF" w:rsidRPr="00722B8A" w:rsidRDefault="00722B8A" w:rsidP="00722B8A">
            <w:pPr>
              <w:spacing w:before="60" w:after="120"/>
              <w:rPr>
                <w:sz w:val="24"/>
                <w:szCs w:val="24"/>
              </w:rPr>
            </w:pPr>
            <w:r w:rsidRPr="00722B8A">
              <w:rPr>
                <w:sz w:val="24"/>
                <w:szCs w:val="24"/>
              </w:rPr>
              <w:t xml:space="preserve">The Chair welcomed </w:t>
            </w:r>
            <w:r w:rsidR="00F86D8B" w:rsidRPr="00722B8A">
              <w:rPr>
                <w:sz w:val="24"/>
                <w:szCs w:val="24"/>
              </w:rPr>
              <w:t xml:space="preserve">Tim Smith </w:t>
            </w:r>
            <w:r w:rsidRPr="00722B8A">
              <w:rPr>
                <w:sz w:val="24"/>
                <w:szCs w:val="24"/>
              </w:rPr>
              <w:t>to the meeting</w:t>
            </w:r>
            <w:r w:rsidR="00846952">
              <w:rPr>
                <w:sz w:val="24"/>
                <w:szCs w:val="24"/>
              </w:rPr>
              <w:t xml:space="preserve">, </w:t>
            </w:r>
            <w:r w:rsidR="00F86D8B" w:rsidRPr="00722B8A">
              <w:rPr>
                <w:sz w:val="24"/>
                <w:szCs w:val="24"/>
              </w:rPr>
              <w:t>in his capacity as Chair of the Board</w:t>
            </w:r>
            <w:r w:rsidR="00846952">
              <w:rPr>
                <w:sz w:val="24"/>
                <w:szCs w:val="24"/>
              </w:rPr>
              <w:t xml:space="preserve"> of Governors (the Board)</w:t>
            </w:r>
            <w:r w:rsidRPr="00722B8A">
              <w:rPr>
                <w:sz w:val="24"/>
                <w:szCs w:val="24"/>
              </w:rPr>
              <w:t xml:space="preserve">, and attendees, </w:t>
            </w:r>
            <w:r w:rsidR="00F86D8B" w:rsidRPr="00722B8A">
              <w:rPr>
                <w:sz w:val="24"/>
                <w:szCs w:val="24"/>
              </w:rPr>
              <w:t>Tracey Hulme</w:t>
            </w:r>
            <w:r w:rsidRPr="00722B8A">
              <w:rPr>
                <w:sz w:val="24"/>
                <w:szCs w:val="24"/>
              </w:rPr>
              <w:t>,</w:t>
            </w:r>
            <w:r w:rsidR="00F86D8B" w:rsidRPr="00722B8A">
              <w:rPr>
                <w:sz w:val="24"/>
                <w:szCs w:val="24"/>
              </w:rPr>
              <w:t xml:space="preserve"> David Shepherd and Libby Wilson</w:t>
            </w:r>
            <w:r w:rsidRPr="00722B8A">
              <w:rPr>
                <w:sz w:val="24"/>
                <w:szCs w:val="24"/>
              </w:rPr>
              <w:t>.</w:t>
            </w:r>
          </w:p>
        </w:tc>
      </w:tr>
      <w:tr w:rsidR="00722B8A" w:rsidRPr="008A753B" w14:paraId="77AD1D49" w14:textId="77777777" w:rsidTr="6D45CE17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655EAA3A" w14:textId="5282F5CD" w:rsidR="00722B8A" w:rsidRDefault="00722B8A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nil"/>
            </w:tcBorders>
          </w:tcPr>
          <w:p w14:paraId="7BB55C91" w14:textId="176D79F9" w:rsidR="00722B8A" w:rsidRPr="00722B8A" w:rsidRDefault="00722B8A" w:rsidP="00722B8A">
            <w:pPr>
              <w:spacing w:before="6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noted that the Board of Governors (the Board) had approved the recommendation from the Committee and the </w:t>
            </w:r>
            <w:r w:rsidRPr="00722B8A">
              <w:rPr>
                <w:sz w:val="24"/>
                <w:szCs w:val="24"/>
              </w:rPr>
              <w:t>Task</w:t>
            </w:r>
            <w:r w:rsidR="00F424FA">
              <w:rPr>
                <w:sz w:val="24"/>
                <w:szCs w:val="24"/>
              </w:rPr>
              <w:t xml:space="preserve"> &amp;</w:t>
            </w:r>
            <w:r w:rsidRPr="00722B8A">
              <w:rPr>
                <w:sz w:val="24"/>
                <w:szCs w:val="24"/>
              </w:rPr>
              <w:t xml:space="preserve"> Finish Group </w:t>
            </w:r>
            <w:r>
              <w:rPr>
                <w:sz w:val="24"/>
                <w:szCs w:val="24"/>
              </w:rPr>
              <w:t xml:space="preserve">in relation to the </w:t>
            </w:r>
            <w:r w:rsidRPr="00722B8A">
              <w:rPr>
                <w:sz w:val="24"/>
                <w:szCs w:val="24"/>
              </w:rPr>
              <w:t>London Campus Procurement Strategy</w:t>
            </w:r>
            <w:r>
              <w:rPr>
                <w:sz w:val="24"/>
                <w:szCs w:val="24"/>
              </w:rPr>
              <w:t>.</w:t>
            </w:r>
            <w:r w:rsidR="00852D17">
              <w:rPr>
                <w:sz w:val="24"/>
                <w:szCs w:val="24"/>
              </w:rPr>
              <w:t xml:space="preserve"> </w:t>
            </w:r>
          </w:p>
        </w:tc>
      </w:tr>
      <w:tr w:rsidR="00A51167" w:rsidRPr="008A753B" w14:paraId="641799F4" w14:textId="77777777" w:rsidTr="6D45CE17"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7362BE" w14:textId="77777777" w:rsidR="00A51167" w:rsidRPr="00053161" w:rsidRDefault="00A51167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 xml:space="preserve">MINUTES OF THE PREVIOUS MEETINGS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50FFCEB8" w:rsidR="00A51167" w:rsidRPr="00053161" w:rsidRDefault="00A51167" w:rsidP="000E1EF4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FEC_2024_05_01_P3</w:t>
            </w:r>
          </w:p>
        </w:tc>
      </w:tr>
      <w:tr w:rsidR="001C0F4A" w:rsidRPr="008A753B" w14:paraId="55126A0E" w14:textId="77777777" w:rsidTr="6D45CE17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1C0F4A" w:rsidRPr="008A753B" w:rsidRDefault="001C0F4A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1F71F" w14:textId="3C7AE068" w:rsidR="001C0F4A" w:rsidRPr="00A26A10" w:rsidRDefault="001C0F4A" w:rsidP="001C0F4A">
            <w:pPr>
              <w:spacing w:before="60" w:after="60"/>
              <w:rPr>
                <w:sz w:val="24"/>
                <w:szCs w:val="24"/>
              </w:rPr>
            </w:pPr>
            <w:r w:rsidRPr="00A26A10">
              <w:rPr>
                <w:sz w:val="24"/>
                <w:szCs w:val="24"/>
              </w:rPr>
              <w:t xml:space="preserve">The Committee </w:t>
            </w:r>
            <w:r w:rsidRPr="002E560D">
              <w:rPr>
                <w:b/>
                <w:bCs/>
                <w:sz w:val="24"/>
                <w:szCs w:val="24"/>
              </w:rPr>
              <w:t>approved</w:t>
            </w:r>
            <w:r w:rsidRPr="00A26A10">
              <w:rPr>
                <w:sz w:val="24"/>
                <w:szCs w:val="24"/>
              </w:rPr>
              <w:t xml:space="preserve"> the minutes (including the confidential minutes) of the meeting</w:t>
            </w:r>
            <w:r>
              <w:rPr>
                <w:sz w:val="24"/>
                <w:szCs w:val="24"/>
              </w:rPr>
              <w:t>s</w:t>
            </w:r>
            <w:r w:rsidRPr="00A26A10">
              <w:rPr>
                <w:sz w:val="24"/>
                <w:szCs w:val="24"/>
              </w:rPr>
              <w:t xml:space="preserve"> held on </w:t>
            </w:r>
            <w:r w:rsidR="007326BE">
              <w:rPr>
                <w:sz w:val="24"/>
                <w:szCs w:val="24"/>
              </w:rPr>
              <w:t>6 March 2024</w:t>
            </w:r>
            <w:r w:rsidRPr="00A26A10">
              <w:rPr>
                <w:sz w:val="24"/>
                <w:szCs w:val="24"/>
              </w:rPr>
              <w:t xml:space="preserve"> as an accurate record.</w:t>
            </w:r>
            <w:r w:rsidR="00A362D0">
              <w:t xml:space="preserve"> </w:t>
            </w:r>
          </w:p>
        </w:tc>
      </w:tr>
      <w:tr w:rsidR="00A51167" w:rsidRPr="008A753B" w14:paraId="45842A65" w14:textId="77777777" w:rsidTr="6D45CE17">
        <w:trPr>
          <w:cantSplit/>
        </w:trPr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DF1D8A" w14:textId="77777777" w:rsidR="00A51167" w:rsidRPr="00053161" w:rsidRDefault="00A51167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 xml:space="preserve">MATTERS ARISING AND ACTION TRACKER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71527C88" w:rsidR="00A51167" w:rsidRPr="00053161" w:rsidRDefault="00A51167" w:rsidP="000E1EF4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FEC_2024_05_01_P4</w:t>
            </w:r>
          </w:p>
        </w:tc>
      </w:tr>
      <w:tr w:rsidR="001C0F4A" w:rsidRPr="008A753B" w14:paraId="127263CF" w14:textId="77777777" w:rsidTr="6D45CE17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1C0F4A" w:rsidRPr="008A753B" w:rsidRDefault="001C0F4A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8A753B">
              <w:rPr>
                <w:sz w:val="24"/>
                <w:szCs w:val="24"/>
              </w:rPr>
              <w:t>4.1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168BA" w14:textId="4FC58A13" w:rsidR="001C0F4A" w:rsidRDefault="00E96D61" w:rsidP="00F86D8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agreed that, following a review of the action tracker by the Chair, the actions relating to the </w:t>
            </w:r>
            <w:r w:rsidR="00846952">
              <w:rPr>
                <w:sz w:val="24"/>
                <w:szCs w:val="24"/>
              </w:rPr>
              <w:t xml:space="preserve">University’s </w:t>
            </w:r>
            <w:r>
              <w:rPr>
                <w:sz w:val="24"/>
                <w:szCs w:val="24"/>
              </w:rPr>
              <w:t xml:space="preserve">Academic Career Framework and reward offer </w:t>
            </w:r>
            <w:r w:rsidR="00846952">
              <w:rPr>
                <w:sz w:val="24"/>
                <w:szCs w:val="24"/>
              </w:rPr>
              <w:t xml:space="preserve">briefings </w:t>
            </w:r>
            <w:r w:rsidR="00A51167">
              <w:rPr>
                <w:sz w:val="24"/>
                <w:szCs w:val="24"/>
              </w:rPr>
              <w:t>should</w:t>
            </w:r>
            <w:r>
              <w:rPr>
                <w:sz w:val="24"/>
                <w:szCs w:val="24"/>
              </w:rPr>
              <w:t xml:space="preserve"> be removed from the tracker</w:t>
            </w:r>
            <w:r w:rsidR="00846952">
              <w:rPr>
                <w:sz w:val="24"/>
                <w:szCs w:val="24"/>
              </w:rPr>
              <w:t>. Instead, future briefings would be considered as</w:t>
            </w:r>
            <w:r>
              <w:rPr>
                <w:sz w:val="24"/>
                <w:szCs w:val="24"/>
              </w:rPr>
              <w:t xml:space="preserve"> part of </w:t>
            </w:r>
            <w:r w:rsidR="00846952">
              <w:rPr>
                <w:sz w:val="24"/>
                <w:szCs w:val="24"/>
              </w:rPr>
              <w:t xml:space="preserve">Board Officer discussions on </w:t>
            </w:r>
            <w:r>
              <w:rPr>
                <w:sz w:val="24"/>
                <w:szCs w:val="24"/>
              </w:rPr>
              <w:t>the</w:t>
            </w:r>
            <w:r w:rsidR="008469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forward </w:t>
            </w:r>
            <w:r w:rsidR="009A4854">
              <w:rPr>
                <w:sz w:val="24"/>
                <w:szCs w:val="24"/>
              </w:rPr>
              <w:t xml:space="preserve">business </w:t>
            </w:r>
            <w:r>
              <w:rPr>
                <w:sz w:val="24"/>
                <w:szCs w:val="24"/>
              </w:rPr>
              <w:t>schedule.</w:t>
            </w:r>
            <w:r w:rsidR="004E2A03">
              <w:rPr>
                <w:sz w:val="24"/>
                <w:szCs w:val="24"/>
              </w:rPr>
              <w:t xml:space="preserve"> </w:t>
            </w:r>
          </w:p>
          <w:p w14:paraId="45A9DC57" w14:textId="043EDD59" w:rsidR="001355C7" w:rsidRDefault="00E96D61" w:rsidP="005F5B1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Interim COO outlined the University’s approach to hybrid working</w:t>
            </w:r>
            <w:r w:rsidR="009A48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which was balanced around business need</w:t>
            </w:r>
            <w:r w:rsidR="005F37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F3741">
              <w:rPr>
                <w:sz w:val="24"/>
                <w:szCs w:val="24"/>
              </w:rPr>
              <w:t>and embraced</w:t>
            </w:r>
            <w:r>
              <w:rPr>
                <w:sz w:val="24"/>
                <w:szCs w:val="24"/>
              </w:rPr>
              <w:t xml:space="preserve"> technological </w:t>
            </w:r>
            <w:r w:rsidR="00A51167">
              <w:rPr>
                <w:sz w:val="24"/>
                <w:szCs w:val="24"/>
              </w:rPr>
              <w:t>advances</w:t>
            </w:r>
            <w:r>
              <w:rPr>
                <w:sz w:val="24"/>
                <w:szCs w:val="24"/>
              </w:rPr>
              <w:t xml:space="preserve">. </w:t>
            </w:r>
            <w:r w:rsidR="00846952">
              <w:rPr>
                <w:sz w:val="24"/>
                <w:szCs w:val="24"/>
              </w:rPr>
              <w:t>It was noted that</w:t>
            </w:r>
            <w:r w:rsidR="005F3741">
              <w:rPr>
                <w:sz w:val="24"/>
                <w:szCs w:val="24"/>
              </w:rPr>
              <w:t xml:space="preserve"> monitoring of p</w:t>
            </w:r>
            <w:r>
              <w:rPr>
                <w:sz w:val="24"/>
                <w:szCs w:val="24"/>
              </w:rPr>
              <w:t>ractice at other institutions</w:t>
            </w:r>
            <w:r w:rsidR="005F3741">
              <w:rPr>
                <w:sz w:val="24"/>
                <w:szCs w:val="24"/>
              </w:rPr>
              <w:t xml:space="preserve"> was undertaken</w:t>
            </w:r>
            <w:r>
              <w:rPr>
                <w:sz w:val="24"/>
                <w:szCs w:val="24"/>
              </w:rPr>
              <w:t>, particularly in</w:t>
            </w:r>
            <w:r w:rsidR="005F3741">
              <w:rPr>
                <w:sz w:val="24"/>
                <w:szCs w:val="24"/>
              </w:rPr>
              <w:t xml:space="preserve"> relation to</w:t>
            </w:r>
            <w:r>
              <w:rPr>
                <w:sz w:val="24"/>
                <w:szCs w:val="24"/>
              </w:rPr>
              <w:t xml:space="preserve"> space design</w:t>
            </w:r>
            <w:r w:rsidR="00A51167">
              <w:rPr>
                <w:sz w:val="24"/>
                <w:szCs w:val="24"/>
              </w:rPr>
              <w:t>. T</w:t>
            </w:r>
            <w:r w:rsidR="005F3741">
              <w:rPr>
                <w:sz w:val="24"/>
                <w:szCs w:val="24"/>
              </w:rPr>
              <w:t xml:space="preserve">he </w:t>
            </w:r>
            <w:r w:rsidR="00A51167">
              <w:rPr>
                <w:sz w:val="24"/>
                <w:szCs w:val="24"/>
              </w:rPr>
              <w:t>trend towards</w:t>
            </w:r>
            <w:r w:rsidR="005F3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="00A51167">
              <w:rPr>
                <w:sz w:val="24"/>
                <w:szCs w:val="24"/>
              </w:rPr>
              <w:t>considerable</w:t>
            </w:r>
            <w:r>
              <w:rPr>
                <w:sz w:val="24"/>
                <w:szCs w:val="24"/>
              </w:rPr>
              <w:t xml:space="preserve"> reduction in cellular office space and </w:t>
            </w:r>
            <w:r w:rsidR="0075576B">
              <w:rPr>
                <w:sz w:val="24"/>
                <w:szCs w:val="24"/>
              </w:rPr>
              <w:t>greater</w:t>
            </w:r>
            <w:r>
              <w:rPr>
                <w:sz w:val="24"/>
                <w:szCs w:val="24"/>
              </w:rPr>
              <w:t xml:space="preserve"> use of zoning </w:t>
            </w:r>
            <w:r w:rsidR="00A51167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lastRenderedPageBreak/>
              <w:t xml:space="preserve">provide </w:t>
            </w:r>
            <w:r w:rsidR="0075576B">
              <w:rPr>
                <w:sz w:val="24"/>
                <w:szCs w:val="24"/>
              </w:rPr>
              <w:t>more</w:t>
            </w:r>
            <w:r>
              <w:rPr>
                <w:sz w:val="24"/>
                <w:szCs w:val="24"/>
              </w:rPr>
              <w:t xml:space="preserve"> flexibility for teaching and workspa</w:t>
            </w:r>
            <w:r w:rsidR="005F3741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 w:rsidR="005F3741">
              <w:rPr>
                <w:sz w:val="24"/>
                <w:szCs w:val="24"/>
              </w:rPr>
              <w:t xml:space="preserve"> was </w:t>
            </w:r>
            <w:r w:rsidR="00846952">
              <w:rPr>
                <w:sz w:val="24"/>
                <w:szCs w:val="24"/>
              </w:rPr>
              <w:t>highlighted</w:t>
            </w:r>
            <w:r>
              <w:rPr>
                <w:sz w:val="24"/>
                <w:szCs w:val="24"/>
              </w:rPr>
              <w:t>. The Committee noted</w:t>
            </w:r>
            <w:r w:rsidR="007557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this action </w:t>
            </w:r>
            <w:r w:rsidR="0075576B">
              <w:rPr>
                <w:sz w:val="24"/>
                <w:szCs w:val="24"/>
              </w:rPr>
              <w:t xml:space="preserve">as </w:t>
            </w:r>
            <w:r>
              <w:rPr>
                <w:sz w:val="24"/>
                <w:szCs w:val="24"/>
              </w:rPr>
              <w:t xml:space="preserve">complete. </w:t>
            </w:r>
          </w:p>
          <w:p w14:paraId="179D8E8D" w14:textId="460C43A5" w:rsidR="00477E28" w:rsidRPr="001355C7" w:rsidRDefault="005F5B11" w:rsidP="001355C7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1355C7">
              <w:rPr>
                <w:b/>
                <w:bCs/>
                <w:sz w:val="24"/>
                <w:szCs w:val="24"/>
              </w:rPr>
              <w:t xml:space="preserve">Action: </w:t>
            </w:r>
            <w:r w:rsidR="001355C7">
              <w:rPr>
                <w:b/>
                <w:bCs/>
                <w:sz w:val="24"/>
                <w:szCs w:val="24"/>
              </w:rPr>
              <w:t>Committee Secretary</w:t>
            </w:r>
            <w:r w:rsidRPr="001355C7">
              <w:rPr>
                <w:b/>
                <w:bCs/>
                <w:sz w:val="24"/>
                <w:szCs w:val="24"/>
              </w:rPr>
              <w:t xml:space="preserve"> to update </w:t>
            </w:r>
            <w:r w:rsidR="001355C7">
              <w:rPr>
                <w:b/>
                <w:bCs/>
                <w:sz w:val="24"/>
                <w:szCs w:val="24"/>
              </w:rPr>
              <w:t xml:space="preserve">the </w:t>
            </w:r>
            <w:r w:rsidRPr="001355C7">
              <w:rPr>
                <w:b/>
                <w:bCs/>
                <w:sz w:val="24"/>
                <w:szCs w:val="24"/>
              </w:rPr>
              <w:t>action tracker</w:t>
            </w:r>
            <w:r w:rsidR="001355C7">
              <w:rPr>
                <w:b/>
                <w:bCs/>
                <w:sz w:val="24"/>
                <w:szCs w:val="24"/>
              </w:rPr>
              <w:t xml:space="preserve"> in line with the above</w:t>
            </w:r>
            <w:r w:rsidR="001355C7" w:rsidRPr="001355C7">
              <w:rPr>
                <w:b/>
                <w:bCs/>
                <w:sz w:val="24"/>
                <w:szCs w:val="24"/>
              </w:rPr>
              <w:t>.</w:t>
            </w:r>
            <w:r w:rsidR="00A51167" w:rsidRPr="00A362D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51167" w:rsidRPr="008A753B" w14:paraId="1D5DEFEF" w14:textId="77777777" w:rsidTr="6D45CE17"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C8E0F1" w14:textId="77777777" w:rsidR="00A51167" w:rsidRPr="00053161" w:rsidRDefault="00A51167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bookmarkStart w:id="0" w:name="_Hlk114508986"/>
            <w:r w:rsidRPr="00053161">
              <w:rPr>
                <w:b/>
                <w:sz w:val="24"/>
              </w:rPr>
              <w:lastRenderedPageBreak/>
              <w:t>PEOPLE PLAN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F919C3" w14:textId="5F8BD905" w:rsidR="00A51167" w:rsidRPr="00053161" w:rsidRDefault="00A51167" w:rsidP="000E1EF4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FEC_2024_05_01_P5</w:t>
            </w:r>
          </w:p>
        </w:tc>
      </w:tr>
      <w:bookmarkEnd w:id="0"/>
      <w:tr w:rsidR="001C0F4A" w:rsidRPr="008A753B" w14:paraId="1125809F" w14:textId="77777777" w:rsidTr="006C060D">
        <w:trPr>
          <w:trHeight w:val="2248"/>
        </w:trPr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0EC0F21D" w14:textId="09FA781C" w:rsidR="001C0F4A" w:rsidRDefault="001C0F4A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66666">
              <w:rPr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nil"/>
            </w:tcBorders>
          </w:tcPr>
          <w:p w14:paraId="1A9B699A" w14:textId="51D4FC26" w:rsidR="00C66666" w:rsidRDefault="00C66666" w:rsidP="00C66666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Organisational Change Update: </w:t>
            </w:r>
            <w:r w:rsidR="0089692A" w:rsidRPr="0089692A">
              <w:rPr>
                <w:rFonts w:eastAsia="Times New Roman"/>
                <w:sz w:val="24"/>
                <w:szCs w:val="24"/>
              </w:rPr>
              <w:t xml:space="preserve">the Director of HROD reported </w:t>
            </w:r>
            <w:r w:rsidR="00062944">
              <w:rPr>
                <w:rFonts w:eastAsia="Times New Roman"/>
                <w:sz w:val="24"/>
                <w:szCs w:val="24"/>
              </w:rPr>
              <w:t>on the outcome of</w:t>
            </w:r>
            <w:r w:rsidR="0089692A">
              <w:rPr>
                <w:rFonts w:eastAsia="Times New Roman"/>
                <w:sz w:val="24"/>
                <w:szCs w:val="24"/>
              </w:rPr>
              <w:t xml:space="preserve"> the </w:t>
            </w:r>
            <w:r w:rsidR="00846952">
              <w:rPr>
                <w:rFonts w:eastAsia="Times New Roman"/>
                <w:sz w:val="24"/>
                <w:szCs w:val="24"/>
              </w:rPr>
              <w:t>College change programme</w:t>
            </w:r>
            <w:r w:rsidR="006C060D">
              <w:rPr>
                <w:rFonts w:eastAsia="Times New Roman"/>
                <w:sz w:val="24"/>
                <w:szCs w:val="24"/>
              </w:rPr>
              <w:t>. A confidential minute was recorded.</w:t>
            </w:r>
            <w:r w:rsidR="0089692A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72EF1BD" w14:textId="375FF703" w:rsidR="00C66666" w:rsidRDefault="0089692A" w:rsidP="00C66666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It was noted that a tailored leadership programme was being developed for the new</w:t>
            </w:r>
            <w:r w:rsidR="00C66666">
              <w:rPr>
                <w:rFonts w:eastAsia="Times New Roman"/>
                <w:sz w:val="24"/>
                <w:szCs w:val="24"/>
              </w:rPr>
              <w:t xml:space="preserve"> academic leadership team </w:t>
            </w:r>
            <w:r w:rsidR="007220C9">
              <w:rPr>
                <w:rFonts w:eastAsia="Times New Roman"/>
                <w:sz w:val="24"/>
                <w:szCs w:val="24"/>
              </w:rPr>
              <w:t>with engagement from</w:t>
            </w:r>
            <w:r>
              <w:rPr>
                <w:rFonts w:eastAsia="Times New Roman"/>
                <w:sz w:val="24"/>
                <w:szCs w:val="24"/>
              </w:rPr>
              <w:t xml:space="preserve"> the College</w:t>
            </w:r>
            <w:r w:rsidR="00C66666">
              <w:rPr>
                <w:rFonts w:eastAsia="Times New Roman"/>
                <w:sz w:val="24"/>
                <w:szCs w:val="24"/>
              </w:rPr>
              <w:t xml:space="preserve"> Deans and other </w:t>
            </w:r>
            <w:r w:rsidR="007220C9">
              <w:rPr>
                <w:rFonts w:eastAsia="Times New Roman"/>
                <w:sz w:val="24"/>
                <w:szCs w:val="24"/>
              </w:rPr>
              <w:t>s</w:t>
            </w:r>
            <w:r w:rsidR="00C66666">
              <w:rPr>
                <w:rFonts w:eastAsia="Times New Roman"/>
                <w:sz w:val="24"/>
                <w:szCs w:val="24"/>
              </w:rPr>
              <w:t>enior leadership</w:t>
            </w:r>
            <w:r w:rsidR="007220C9">
              <w:rPr>
                <w:rFonts w:eastAsia="Times New Roman"/>
                <w:sz w:val="24"/>
                <w:szCs w:val="24"/>
              </w:rPr>
              <w:t>, supported by the set of Behaviours referred to below.</w:t>
            </w:r>
          </w:p>
          <w:p w14:paraId="1B1509CB" w14:textId="351197DF" w:rsidR="004E2A03" w:rsidRPr="00C66666" w:rsidRDefault="00062944" w:rsidP="00A41D96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Consultation </w:t>
            </w:r>
            <w:r w:rsidRPr="007C14F5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the Joint Negotiating</w:t>
            </w:r>
            <w:r w:rsidR="00846952">
              <w:rPr>
                <w:sz w:val="24"/>
                <w:szCs w:val="24"/>
              </w:rPr>
              <w:t xml:space="preserve"> Committee</w:t>
            </w:r>
            <w:r w:rsidRPr="007C14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7C14F5">
              <w:rPr>
                <w:sz w:val="24"/>
                <w:szCs w:val="24"/>
              </w:rPr>
              <w:t>JNC</w:t>
            </w:r>
            <w:r>
              <w:rPr>
                <w:sz w:val="24"/>
                <w:szCs w:val="24"/>
              </w:rPr>
              <w:t>)</w:t>
            </w:r>
            <w:r w:rsidRPr="007C14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would be taking place in May on the proposed Professional Services workforce</w:t>
            </w:r>
            <w:r w:rsidR="00846952">
              <w:rPr>
                <w:sz w:val="24"/>
                <w:szCs w:val="24"/>
              </w:rPr>
              <w:t xml:space="preserve"> changes</w:t>
            </w:r>
            <w:r w:rsidR="006C060D">
              <w:rPr>
                <w:sz w:val="24"/>
                <w:szCs w:val="24"/>
              </w:rPr>
              <w:t>.</w:t>
            </w:r>
          </w:p>
        </w:tc>
      </w:tr>
      <w:tr w:rsidR="001C0F4A" w:rsidRPr="008A753B" w14:paraId="64316D63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1EAC6D96" w14:textId="5676F738" w:rsidR="001C0F4A" w:rsidRDefault="001C0F4A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4E446D49" w14:textId="34B5FAEF" w:rsidR="00895224" w:rsidRDefault="00F86D8B" w:rsidP="00895224">
            <w:pPr>
              <w:spacing w:before="60" w:after="60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6037B3">
              <w:rPr>
                <w:b/>
                <w:bCs/>
                <w:color w:val="000000" w:themeColor="text1"/>
                <w:sz w:val="24"/>
                <w:szCs w:val="24"/>
              </w:rPr>
              <w:t xml:space="preserve">ndustrial action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and p</w:t>
            </w:r>
            <w:r w:rsidRPr="006037B3">
              <w:rPr>
                <w:b/>
                <w:bCs/>
                <w:color w:val="000000" w:themeColor="text1"/>
                <w:sz w:val="24"/>
                <w:szCs w:val="24"/>
              </w:rPr>
              <w:t>ay award negotiations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89522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A60C0" w:rsidRPr="00CE0A5B">
              <w:rPr>
                <w:color w:val="000000" w:themeColor="text1"/>
                <w:sz w:val="24"/>
                <w:szCs w:val="24"/>
              </w:rPr>
              <w:t>m</w:t>
            </w:r>
            <w:r w:rsidR="00895224">
              <w:rPr>
                <w:sz w:val="24"/>
                <w:szCs w:val="24"/>
              </w:rPr>
              <w:t>embers noted that t</w:t>
            </w:r>
            <w:r w:rsidR="00F02351">
              <w:rPr>
                <w:sz w:val="24"/>
                <w:szCs w:val="24"/>
              </w:rPr>
              <w:t>he University and College Union (</w:t>
            </w:r>
            <w:r w:rsidR="00F02351" w:rsidRPr="00B90154">
              <w:rPr>
                <w:sz w:val="24"/>
                <w:szCs w:val="24"/>
              </w:rPr>
              <w:t>UCU</w:t>
            </w:r>
            <w:r w:rsidR="00F02351">
              <w:rPr>
                <w:sz w:val="24"/>
                <w:szCs w:val="24"/>
              </w:rPr>
              <w:t>)</w:t>
            </w:r>
            <w:r w:rsidR="00F02351" w:rsidRPr="00B90154">
              <w:rPr>
                <w:sz w:val="24"/>
                <w:szCs w:val="24"/>
              </w:rPr>
              <w:t xml:space="preserve"> ballot on proposed redundancies and related matters</w:t>
            </w:r>
            <w:r w:rsidR="00895224">
              <w:rPr>
                <w:sz w:val="24"/>
                <w:szCs w:val="24"/>
              </w:rPr>
              <w:t xml:space="preserve"> close</w:t>
            </w:r>
            <w:r w:rsidR="00846952">
              <w:rPr>
                <w:sz w:val="24"/>
                <w:szCs w:val="24"/>
              </w:rPr>
              <w:t>d</w:t>
            </w:r>
            <w:r w:rsidR="00895224">
              <w:rPr>
                <w:sz w:val="24"/>
                <w:szCs w:val="24"/>
              </w:rPr>
              <w:t xml:space="preserve"> on </w:t>
            </w:r>
            <w:r w:rsidR="00F02351" w:rsidRPr="00B90154">
              <w:rPr>
                <w:sz w:val="24"/>
                <w:szCs w:val="24"/>
              </w:rPr>
              <w:t xml:space="preserve">22 May 2024. </w:t>
            </w:r>
            <w:r w:rsidR="00895224">
              <w:rPr>
                <w:sz w:val="24"/>
                <w:szCs w:val="24"/>
              </w:rPr>
              <w:t xml:space="preserve">The Director of HROD </w:t>
            </w:r>
            <w:r w:rsidR="00846952">
              <w:rPr>
                <w:sz w:val="24"/>
                <w:szCs w:val="24"/>
              </w:rPr>
              <w:t xml:space="preserve">reported on the University’s </w:t>
            </w:r>
            <w:r w:rsidR="00895224">
              <w:rPr>
                <w:sz w:val="24"/>
                <w:szCs w:val="24"/>
              </w:rPr>
              <w:t xml:space="preserve">efforts to increase engagement with the trade unions with the aim of resetting the relationship. </w:t>
            </w:r>
          </w:p>
          <w:p w14:paraId="57F4C4DE" w14:textId="69D521DB" w:rsidR="00F02351" w:rsidRPr="00895224" w:rsidRDefault="00F02351" w:rsidP="0089522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 the University’s decision to</w:t>
            </w:r>
            <w:r w:rsidRPr="00B90154">
              <w:rPr>
                <w:sz w:val="24"/>
                <w:szCs w:val="24"/>
              </w:rPr>
              <w:t xml:space="preserve"> opt into the 2024/25 national pay discussions</w:t>
            </w:r>
            <w:r>
              <w:rPr>
                <w:sz w:val="24"/>
                <w:szCs w:val="24"/>
              </w:rPr>
              <w:t xml:space="preserve">, </w:t>
            </w:r>
            <w:r w:rsidR="00895224">
              <w:rPr>
                <w:sz w:val="24"/>
                <w:szCs w:val="24"/>
              </w:rPr>
              <w:t xml:space="preserve">further information was awaited on the progress of negotiations </w:t>
            </w:r>
            <w:r w:rsidRPr="00B90154">
              <w:rPr>
                <w:sz w:val="24"/>
                <w:szCs w:val="24"/>
              </w:rPr>
              <w:t>between</w:t>
            </w:r>
            <w:r>
              <w:rPr>
                <w:sz w:val="24"/>
                <w:szCs w:val="24"/>
              </w:rPr>
              <w:t xml:space="preserve"> the Universities and Colleges Employers Association</w:t>
            </w:r>
            <w:r w:rsidRPr="00B901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B90154">
              <w:rPr>
                <w:sz w:val="24"/>
                <w:szCs w:val="24"/>
              </w:rPr>
              <w:t>UCEA</w:t>
            </w:r>
            <w:r>
              <w:rPr>
                <w:sz w:val="24"/>
                <w:szCs w:val="24"/>
              </w:rPr>
              <w:t>)</w:t>
            </w:r>
            <w:r w:rsidRPr="00B90154">
              <w:rPr>
                <w:sz w:val="24"/>
                <w:szCs w:val="24"/>
              </w:rPr>
              <w:t xml:space="preserve"> and the possibility of further industrial action in relation to pay.</w:t>
            </w:r>
          </w:p>
        </w:tc>
      </w:tr>
      <w:tr w:rsidR="007326BE" w:rsidRPr="008A753B" w14:paraId="65C31DBA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637BBF03" w14:textId="1A6E65C8" w:rsidR="007326BE" w:rsidRDefault="007326BE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66666">
              <w:rPr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1D5BCC8E" w14:textId="3EFE46A5" w:rsidR="00A41F2F" w:rsidRPr="002658D7" w:rsidRDefault="00C66666" w:rsidP="007220C9">
            <w:pPr>
              <w:spacing w:before="60" w:after="60"/>
              <w:rPr>
                <w:sz w:val="24"/>
                <w:szCs w:val="24"/>
              </w:rPr>
            </w:pPr>
            <w:r w:rsidRPr="00F86D8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Academic Work Planning (AWP):</w:t>
            </w:r>
            <w:r w:rsidR="007220C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220C9" w:rsidRPr="007220C9">
              <w:rPr>
                <w:rFonts w:cstheme="minorHAnsi"/>
                <w:color w:val="000000" w:themeColor="text1"/>
                <w:sz w:val="24"/>
                <w:szCs w:val="24"/>
              </w:rPr>
              <w:t>the introduction of a</w:t>
            </w:r>
            <w:r w:rsidR="007220C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220C9" w:rsidRPr="00FC44D6">
              <w:rPr>
                <w:sz w:val="24"/>
                <w:szCs w:val="24"/>
              </w:rPr>
              <w:t>simplified</w:t>
            </w:r>
            <w:r w:rsidR="007220C9">
              <w:rPr>
                <w:sz w:val="24"/>
                <w:szCs w:val="24"/>
              </w:rPr>
              <w:t>, more professional</w:t>
            </w:r>
            <w:r w:rsidR="007220C9" w:rsidRPr="00FC44D6">
              <w:rPr>
                <w:sz w:val="24"/>
                <w:szCs w:val="24"/>
              </w:rPr>
              <w:t xml:space="preserve"> </w:t>
            </w:r>
            <w:r w:rsidR="007220C9">
              <w:rPr>
                <w:sz w:val="24"/>
                <w:szCs w:val="24"/>
              </w:rPr>
              <w:t xml:space="preserve">AWP </w:t>
            </w:r>
            <w:r w:rsidR="007220C9" w:rsidRPr="00FC44D6">
              <w:rPr>
                <w:sz w:val="24"/>
                <w:szCs w:val="24"/>
              </w:rPr>
              <w:t>model</w:t>
            </w:r>
            <w:r w:rsidR="007220C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220C9">
              <w:rPr>
                <w:sz w:val="24"/>
                <w:szCs w:val="24"/>
              </w:rPr>
              <w:t>fo</w:t>
            </w:r>
            <w:r w:rsidR="00A41F2F" w:rsidRPr="00FC44D6">
              <w:rPr>
                <w:sz w:val="24"/>
                <w:szCs w:val="24"/>
              </w:rPr>
              <w:t xml:space="preserve">r </w:t>
            </w:r>
            <w:r w:rsidR="00A41F2F">
              <w:rPr>
                <w:sz w:val="24"/>
                <w:szCs w:val="24"/>
              </w:rPr>
              <w:t xml:space="preserve">the </w:t>
            </w:r>
            <w:r w:rsidR="007220C9" w:rsidRPr="00FC44D6">
              <w:rPr>
                <w:sz w:val="24"/>
                <w:szCs w:val="24"/>
              </w:rPr>
              <w:t xml:space="preserve">2024/25 </w:t>
            </w:r>
            <w:r w:rsidR="00A41F2F" w:rsidRPr="00FC44D6">
              <w:rPr>
                <w:sz w:val="24"/>
                <w:szCs w:val="24"/>
              </w:rPr>
              <w:t xml:space="preserve">academic year </w:t>
            </w:r>
            <w:r w:rsidR="007220C9">
              <w:rPr>
                <w:sz w:val="24"/>
                <w:szCs w:val="24"/>
              </w:rPr>
              <w:t>aimed to provide</w:t>
            </w:r>
            <w:r w:rsidR="00A41F2F" w:rsidRPr="00FC44D6">
              <w:rPr>
                <w:sz w:val="24"/>
                <w:szCs w:val="24"/>
              </w:rPr>
              <w:t xml:space="preserve"> greater flexibility for College</w:t>
            </w:r>
            <w:r w:rsidR="007220C9">
              <w:rPr>
                <w:sz w:val="24"/>
                <w:szCs w:val="24"/>
              </w:rPr>
              <w:t xml:space="preserve">s </w:t>
            </w:r>
            <w:r w:rsidR="00A41F2F" w:rsidRPr="00FC44D6">
              <w:rPr>
                <w:sz w:val="24"/>
                <w:szCs w:val="24"/>
              </w:rPr>
              <w:t>to meet the</w:t>
            </w:r>
            <w:r w:rsidR="001A60C0">
              <w:rPr>
                <w:sz w:val="24"/>
                <w:szCs w:val="24"/>
              </w:rPr>
              <w:t xml:space="preserve">ir </w:t>
            </w:r>
            <w:r w:rsidR="00A41F2F" w:rsidRPr="00FC44D6">
              <w:rPr>
                <w:sz w:val="24"/>
                <w:szCs w:val="24"/>
              </w:rPr>
              <w:t>priorities</w:t>
            </w:r>
            <w:r w:rsidR="001A60C0">
              <w:rPr>
                <w:sz w:val="24"/>
                <w:szCs w:val="24"/>
              </w:rPr>
              <w:t>,</w:t>
            </w:r>
            <w:r w:rsidR="00A41F2F" w:rsidRPr="00FC44D6">
              <w:rPr>
                <w:sz w:val="24"/>
                <w:szCs w:val="24"/>
              </w:rPr>
              <w:t xml:space="preserve"> </w:t>
            </w:r>
            <w:r w:rsidR="001A60C0">
              <w:rPr>
                <w:sz w:val="24"/>
                <w:szCs w:val="24"/>
              </w:rPr>
              <w:t>improve efficiencies and allow more time to be</w:t>
            </w:r>
            <w:r w:rsidR="007220C9">
              <w:rPr>
                <w:sz w:val="24"/>
                <w:szCs w:val="24"/>
              </w:rPr>
              <w:t xml:space="preserve"> </w:t>
            </w:r>
            <w:r w:rsidR="00A41F2F" w:rsidRPr="00FC44D6">
              <w:rPr>
                <w:sz w:val="24"/>
                <w:szCs w:val="24"/>
              </w:rPr>
              <w:t>dedicated to core academic activities</w:t>
            </w:r>
            <w:r w:rsidR="007220C9">
              <w:rPr>
                <w:sz w:val="24"/>
                <w:szCs w:val="24"/>
              </w:rPr>
              <w:t>. Whilst resourcing decisions would be undertaken locally,</w:t>
            </w:r>
            <w:r w:rsidR="002658D7" w:rsidRPr="00FC44D6">
              <w:rPr>
                <w:sz w:val="24"/>
                <w:szCs w:val="24"/>
              </w:rPr>
              <w:t xml:space="preserve"> </w:t>
            </w:r>
            <w:r w:rsidR="007220C9">
              <w:rPr>
                <w:sz w:val="24"/>
                <w:szCs w:val="24"/>
              </w:rPr>
              <w:t xml:space="preserve">Committee members were assured of continuing </w:t>
            </w:r>
            <w:r w:rsidR="002658D7" w:rsidRPr="00FC44D6">
              <w:rPr>
                <w:sz w:val="24"/>
                <w:szCs w:val="24"/>
              </w:rPr>
              <w:t xml:space="preserve">institutional oversight </w:t>
            </w:r>
            <w:r w:rsidR="007220C9">
              <w:rPr>
                <w:sz w:val="24"/>
                <w:szCs w:val="24"/>
              </w:rPr>
              <w:t xml:space="preserve">to </w:t>
            </w:r>
            <w:r w:rsidR="001A60C0">
              <w:rPr>
                <w:sz w:val="24"/>
                <w:szCs w:val="24"/>
              </w:rPr>
              <w:t>achieve</w:t>
            </w:r>
            <w:r w:rsidR="007220C9">
              <w:rPr>
                <w:sz w:val="24"/>
                <w:szCs w:val="24"/>
              </w:rPr>
              <w:t xml:space="preserve"> </w:t>
            </w:r>
            <w:r w:rsidR="001A60C0">
              <w:rPr>
                <w:sz w:val="24"/>
                <w:szCs w:val="24"/>
              </w:rPr>
              <w:t>the</w:t>
            </w:r>
            <w:r w:rsidR="007220C9">
              <w:rPr>
                <w:sz w:val="24"/>
                <w:szCs w:val="24"/>
              </w:rPr>
              <w:t xml:space="preserve"> </w:t>
            </w:r>
            <w:r w:rsidR="001A60C0">
              <w:rPr>
                <w:rFonts w:cstheme="minorHAnsi"/>
                <w:color w:val="000000" w:themeColor="text1"/>
                <w:sz w:val="24"/>
                <w:szCs w:val="24"/>
              </w:rPr>
              <w:t xml:space="preserve">required </w:t>
            </w:r>
            <w:r w:rsidR="007220C9">
              <w:rPr>
                <w:rFonts w:cstheme="minorHAnsi"/>
                <w:color w:val="000000" w:themeColor="text1"/>
                <w:sz w:val="24"/>
                <w:szCs w:val="24"/>
              </w:rPr>
              <w:t xml:space="preserve">cultural </w:t>
            </w:r>
            <w:r w:rsidR="001A60C0">
              <w:rPr>
                <w:rFonts w:cstheme="minorHAnsi"/>
                <w:color w:val="000000" w:themeColor="text1"/>
                <w:sz w:val="24"/>
                <w:szCs w:val="24"/>
              </w:rPr>
              <w:t>change</w:t>
            </w:r>
            <w:r w:rsidR="007220C9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7326BE" w:rsidRPr="008A753B" w14:paraId="7C05F54E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54AD4286" w14:textId="6FF61DDE" w:rsidR="007326BE" w:rsidRDefault="007326BE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C66666">
              <w:rPr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15DDE0CE" w14:textId="1E247B76" w:rsidR="00C66666" w:rsidRPr="007220C9" w:rsidRDefault="00C66666" w:rsidP="00C6666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Hallam Behaviours and Values</w:t>
            </w:r>
            <w:r w:rsidR="007220C9">
              <w:rPr>
                <w:b/>
                <w:bCs/>
                <w:sz w:val="24"/>
                <w:szCs w:val="24"/>
              </w:rPr>
              <w:t xml:space="preserve">: </w:t>
            </w:r>
            <w:r w:rsidR="007220C9" w:rsidRPr="007220C9">
              <w:rPr>
                <w:sz w:val="24"/>
                <w:szCs w:val="24"/>
              </w:rPr>
              <w:t>UEB had recently approved a</w:t>
            </w:r>
            <w:r w:rsidR="007220C9">
              <w:rPr>
                <w:b/>
                <w:bCs/>
                <w:sz w:val="24"/>
                <w:szCs w:val="24"/>
              </w:rPr>
              <w:t xml:space="preserve"> </w:t>
            </w:r>
            <w:r w:rsidRPr="00BA4C5F">
              <w:rPr>
                <w:sz w:val="24"/>
                <w:szCs w:val="24"/>
              </w:rPr>
              <w:t xml:space="preserve">set of </w:t>
            </w:r>
            <w:r w:rsidR="002658D7">
              <w:rPr>
                <w:sz w:val="24"/>
                <w:szCs w:val="24"/>
              </w:rPr>
              <w:t xml:space="preserve">Behaviours </w:t>
            </w:r>
            <w:r w:rsidR="007220C9">
              <w:rPr>
                <w:sz w:val="24"/>
                <w:szCs w:val="24"/>
              </w:rPr>
              <w:t xml:space="preserve">developed by a cross-University working group, Members agreed that the intention to formally launch the behaviours in the autumn was sensible in the </w:t>
            </w:r>
            <w:r w:rsidR="007220C9" w:rsidRPr="00BA4C5F">
              <w:rPr>
                <w:sz w:val="24"/>
                <w:szCs w:val="24"/>
              </w:rPr>
              <w:t>current organisational context</w:t>
            </w:r>
            <w:r w:rsidR="007220C9">
              <w:rPr>
                <w:sz w:val="24"/>
                <w:szCs w:val="24"/>
              </w:rPr>
              <w:t xml:space="preserve">. </w:t>
            </w:r>
            <w:r w:rsidR="001A60C0">
              <w:rPr>
                <w:sz w:val="24"/>
                <w:szCs w:val="24"/>
              </w:rPr>
              <w:t>A</w:t>
            </w:r>
            <w:r w:rsidR="007220C9">
              <w:rPr>
                <w:sz w:val="24"/>
                <w:szCs w:val="24"/>
              </w:rPr>
              <w:t xml:space="preserve"> soft launch to embed the Behaviours </w:t>
            </w:r>
            <w:r w:rsidRPr="00BA4C5F">
              <w:rPr>
                <w:sz w:val="24"/>
                <w:szCs w:val="24"/>
              </w:rPr>
              <w:t xml:space="preserve">within recruitment and selection, </w:t>
            </w:r>
            <w:r>
              <w:rPr>
                <w:sz w:val="24"/>
                <w:szCs w:val="24"/>
              </w:rPr>
              <w:t>Performance and Development Review (</w:t>
            </w:r>
            <w:r w:rsidRPr="00BA4C5F">
              <w:rPr>
                <w:sz w:val="24"/>
                <w:szCs w:val="24"/>
              </w:rPr>
              <w:t>PDR</w:t>
            </w:r>
            <w:r>
              <w:rPr>
                <w:sz w:val="24"/>
                <w:szCs w:val="24"/>
              </w:rPr>
              <w:t>),</w:t>
            </w:r>
            <w:r w:rsidRPr="00BA4C5F">
              <w:rPr>
                <w:sz w:val="24"/>
                <w:szCs w:val="24"/>
              </w:rPr>
              <w:t xml:space="preserve"> and learning and development activities</w:t>
            </w:r>
            <w:r w:rsidR="007220C9">
              <w:rPr>
                <w:sz w:val="24"/>
                <w:szCs w:val="24"/>
              </w:rPr>
              <w:t xml:space="preserve"> would be undertaken</w:t>
            </w:r>
            <w:r w:rsidRPr="00BA4C5F">
              <w:rPr>
                <w:sz w:val="24"/>
                <w:szCs w:val="24"/>
              </w:rPr>
              <w:t xml:space="preserve"> over the coming months</w:t>
            </w:r>
            <w:r w:rsidR="007220C9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F86D8B" w:rsidRPr="008A753B" w14:paraId="6C1A42F0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3120DA74" w14:textId="7DBE2459" w:rsidR="00F86D8B" w:rsidRDefault="00F86D8B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546970D3" w14:textId="4999D2B7" w:rsidR="00C66666" w:rsidRPr="00895224" w:rsidRDefault="00895224" w:rsidP="001A60C0">
            <w:pPr>
              <w:spacing w:before="60" w:after="60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Equality, Equity, Diversity and Inclusion (</w:t>
            </w:r>
            <w:r w:rsidR="00F86D8B">
              <w:rPr>
                <w:rFonts w:eastAsia="Times New Roman"/>
                <w:b/>
                <w:bCs/>
                <w:sz w:val="24"/>
                <w:szCs w:val="24"/>
              </w:rPr>
              <w:t>EEDI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  <w:r w:rsidR="00F86D8B">
              <w:rPr>
                <w:rFonts w:eastAsia="Times New Roman"/>
                <w:b/>
                <w:bCs/>
                <w:sz w:val="24"/>
                <w:szCs w:val="24"/>
              </w:rPr>
              <w:t xml:space="preserve"> Pulse Survey</w:t>
            </w:r>
            <w:r w:rsidR="00722B8A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="00C6666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1A60C0">
              <w:rPr>
                <w:rFonts w:eastAsia="Times New Roman"/>
                <w:sz w:val="24"/>
                <w:szCs w:val="24"/>
              </w:rPr>
              <w:t>an</w:t>
            </w:r>
            <w:r w:rsidR="00A41F2F" w:rsidRPr="00895224">
              <w:rPr>
                <w:sz w:val="24"/>
                <w:szCs w:val="24"/>
              </w:rPr>
              <w:t xml:space="preserve"> </w:t>
            </w:r>
            <w:r w:rsidR="00A51167" w:rsidRPr="00895224">
              <w:rPr>
                <w:sz w:val="24"/>
                <w:szCs w:val="24"/>
              </w:rPr>
              <w:t>all</w:t>
            </w:r>
            <w:r w:rsidR="00A51167">
              <w:rPr>
                <w:sz w:val="24"/>
                <w:szCs w:val="24"/>
              </w:rPr>
              <w:t>-staff</w:t>
            </w:r>
            <w:r w:rsidR="00A41F2F" w:rsidRPr="00A73E7E">
              <w:rPr>
                <w:sz w:val="24"/>
                <w:szCs w:val="24"/>
              </w:rPr>
              <w:t xml:space="preserve"> </w:t>
            </w:r>
            <w:r w:rsidR="001A60C0">
              <w:rPr>
                <w:sz w:val="24"/>
                <w:szCs w:val="24"/>
              </w:rPr>
              <w:t>s</w:t>
            </w:r>
            <w:r w:rsidR="00A41F2F" w:rsidRPr="00A73E7E">
              <w:rPr>
                <w:sz w:val="24"/>
                <w:szCs w:val="24"/>
              </w:rPr>
              <w:t xml:space="preserve">urvey </w:t>
            </w:r>
            <w:r>
              <w:rPr>
                <w:sz w:val="24"/>
                <w:szCs w:val="24"/>
              </w:rPr>
              <w:t>was</w:t>
            </w:r>
            <w:r w:rsidR="00A41F2F">
              <w:rPr>
                <w:sz w:val="24"/>
                <w:szCs w:val="24"/>
              </w:rPr>
              <w:t xml:space="preserve"> scheduled for</w:t>
            </w:r>
            <w:r w:rsidR="00A41F2F" w:rsidRPr="00A73E7E">
              <w:rPr>
                <w:sz w:val="24"/>
                <w:szCs w:val="24"/>
              </w:rPr>
              <w:t xml:space="preserve"> May 2024</w:t>
            </w:r>
            <w:r w:rsidR="00A41F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understand more about</w:t>
            </w:r>
            <w:r w:rsidR="00A41F2F" w:rsidRPr="00A73E7E">
              <w:rPr>
                <w:sz w:val="24"/>
                <w:szCs w:val="24"/>
              </w:rPr>
              <w:t xml:space="preserve"> </w:t>
            </w:r>
            <w:r w:rsidR="00A41F2F">
              <w:rPr>
                <w:sz w:val="24"/>
                <w:szCs w:val="24"/>
              </w:rPr>
              <w:t xml:space="preserve">the extent to which </w:t>
            </w:r>
            <w:r>
              <w:rPr>
                <w:sz w:val="24"/>
                <w:szCs w:val="24"/>
              </w:rPr>
              <w:t>EEDI</w:t>
            </w:r>
            <w:r w:rsidR="00A41F2F">
              <w:rPr>
                <w:sz w:val="24"/>
                <w:szCs w:val="24"/>
              </w:rPr>
              <w:t xml:space="preserve"> </w:t>
            </w:r>
            <w:r w:rsidR="001A60C0">
              <w:rPr>
                <w:sz w:val="24"/>
                <w:szCs w:val="24"/>
              </w:rPr>
              <w:t>was</w:t>
            </w:r>
            <w:r w:rsidR="00A41F2F" w:rsidRPr="00A73E7E">
              <w:rPr>
                <w:sz w:val="24"/>
                <w:szCs w:val="24"/>
              </w:rPr>
              <w:t xml:space="preserve"> making a difference to people’s</w:t>
            </w:r>
            <w:r w:rsidR="00A41F2F">
              <w:rPr>
                <w:sz w:val="24"/>
                <w:szCs w:val="24"/>
              </w:rPr>
              <w:t xml:space="preserve"> lived</w:t>
            </w:r>
            <w:r w:rsidR="00A41F2F" w:rsidRPr="00A73E7E">
              <w:rPr>
                <w:sz w:val="24"/>
                <w:szCs w:val="24"/>
              </w:rPr>
              <w:t xml:space="preserve"> experience </w:t>
            </w:r>
            <w:r w:rsidR="00A41F2F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="00A41F2F">
              <w:rPr>
                <w:sz w:val="24"/>
                <w:szCs w:val="24"/>
              </w:rPr>
              <w:t xml:space="preserve">inform the prioritisation </w:t>
            </w:r>
            <w:r w:rsidR="001A60C0">
              <w:rPr>
                <w:sz w:val="24"/>
                <w:szCs w:val="24"/>
              </w:rPr>
              <w:t>of</w:t>
            </w:r>
            <w:r w:rsidR="00A41F2F">
              <w:rPr>
                <w:sz w:val="24"/>
                <w:szCs w:val="24"/>
              </w:rPr>
              <w:t xml:space="preserve"> future </w:t>
            </w:r>
            <w:r w:rsidR="001A60C0">
              <w:rPr>
                <w:sz w:val="24"/>
                <w:szCs w:val="24"/>
              </w:rPr>
              <w:t xml:space="preserve">EEDI </w:t>
            </w:r>
            <w:r w:rsidR="00A41F2F">
              <w:rPr>
                <w:sz w:val="24"/>
                <w:szCs w:val="24"/>
              </w:rPr>
              <w:t xml:space="preserve">work. </w:t>
            </w:r>
          </w:p>
        </w:tc>
      </w:tr>
      <w:tr w:rsidR="001A48A6" w:rsidRPr="008A753B" w14:paraId="70E37098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55506449" w14:textId="30591CFB" w:rsidR="001A48A6" w:rsidRDefault="001A48A6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7273A1C2" w14:textId="1B4A18EF" w:rsidR="001A48A6" w:rsidRPr="006C060D" w:rsidRDefault="007220C9" w:rsidP="00ED5151">
            <w:pPr>
              <w:spacing w:before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sz w:val="24"/>
                <w:szCs w:val="24"/>
              </w:rPr>
              <w:t xml:space="preserve">FEC </w:t>
            </w:r>
            <w:r w:rsidR="00895224" w:rsidRPr="006C060D">
              <w:rPr>
                <w:rFonts w:eastAsia="Times New Roman"/>
                <w:sz w:val="24"/>
                <w:szCs w:val="24"/>
              </w:rPr>
              <w:t>members commented on the People Plan Report as follows:</w:t>
            </w:r>
          </w:p>
          <w:p w14:paraId="7338E9A1" w14:textId="5412E4DE" w:rsidR="00F55B1C" w:rsidRPr="006C060D" w:rsidRDefault="004E3714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sz w:val="24"/>
                <w:szCs w:val="24"/>
              </w:rPr>
              <w:t>re</w:t>
            </w:r>
            <w:r w:rsidR="009B2610" w:rsidRPr="006C060D">
              <w:rPr>
                <w:rFonts w:eastAsia="Times New Roman"/>
                <w:sz w:val="24"/>
                <w:szCs w:val="24"/>
              </w:rPr>
              <w:t>cogniti</w:t>
            </w:r>
            <w:r w:rsidRPr="006C060D">
              <w:rPr>
                <w:rFonts w:eastAsia="Times New Roman"/>
                <w:sz w:val="24"/>
                <w:szCs w:val="24"/>
              </w:rPr>
              <w:t>on that further work on o</w:t>
            </w:r>
            <w:r w:rsidR="001A48A6" w:rsidRPr="006C060D">
              <w:rPr>
                <w:rFonts w:eastAsia="Times New Roman"/>
                <w:sz w:val="24"/>
                <w:szCs w:val="24"/>
              </w:rPr>
              <w:t>rganisation</w:t>
            </w:r>
            <w:r w:rsidR="00F55B1C" w:rsidRPr="006C060D">
              <w:rPr>
                <w:rFonts w:eastAsia="Times New Roman"/>
                <w:sz w:val="24"/>
                <w:szCs w:val="24"/>
              </w:rPr>
              <w:t>al</w:t>
            </w:r>
            <w:r w:rsidR="001A48A6" w:rsidRPr="006C060D">
              <w:rPr>
                <w:rFonts w:eastAsia="Times New Roman"/>
                <w:sz w:val="24"/>
                <w:szCs w:val="24"/>
              </w:rPr>
              <w:t xml:space="preserve"> </w:t>
            </w:r>
            <w:r w:rsidRPr="006C060D">
              <w:rPr>
                <w:rFonts w:eastAsia="Times New Roman"/>
                <w:sz w:val="24"/>
                <w:szCs w:val="24"/>
              </w:rPr>
              <w:t>change was</w:t>
            </w:r>
            <w:r w:rsidR="001A48A6" w:rsidRPr="006C060D">
              <w:rPr>
                <w:rFonts w:eastAsia="Times New Roman"/>
                <w:sz w:val="24"/>
                <w:szCs w:val="24"/>
              </w:rPr>
              <w:t xml:space="preserve"> </w:t>
            </w:r>
            <w:r w:rsidR="001A60C0" w:rsidRPr="006C060D">
              <w:rPr>
                <w:rFonts w:eastAsia="Times New Roman"/>
                <w:sz w:val="24"/>
                <w:szCs w:val="24"/>
              </w:rPr>
              <w:t>required</w:t>
            </w:r>
            <w:r w:rsidR="006C060D" w:rsidRPr="006C060D">
              <w:rPr>
                <w:rFonts w:eastAsia="Times New Roman"/>
                <w:sz w:val="24"/>
                <w:szCs w:val="24"/>
              </w:rPr>
              <w:t>. A confidential minute was recorded.</w:t>
            </w:r>
            <w:r w:rsidR="001A48A6" w:rsidRPr="006C060D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3F8D940" w14:textId="35898679" w:rsidR="004E3714" w:rsidRPr="006C060D" w:rsidRDefault="004E3714" w:rsidP="004E3714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sz w:val="24"/>
                <w:szCs w:val="24"/>
              </w:rPr>
              <w:t xml:space="preserve">the timescale for a further ballot </w:t>
            </w:r>
            <w:r w:rsidR="005F3741" w:rsidRPr="006C060D">
              <w:rPr>
                <w:rFonts w:eastAsia="Times New Roman"/>
                <w:sz w:val="24"/>
                <w:szCs w:val="24"/>
              </w:rPr>
              <w:t>should</w:t>
            </w:r>
            <w:r w:rsidRPr="006C060D">
              <w:rPr>
                <w:rFonts w:eastAsia="Times New Roman"/>
                <w:sz w:val="24"/>
                <w:szCs w:val="24"/>
              </w:rPr>
              <w:t xml:space="preserve"> the UCU not secure a successful outcome in May</w:t>
            </w:r>
            <w:r w:rsidR="002D1887" w:rsidRPr="006C060D">
              <w:rPr>
                <w:rFonts w:eastAsia="Times New Roman"/>
                <w:sz w:val="24"/>
                <w:szCs w:val="24"/>
              </w:rPr>
              <w:t>;</w:t>
            </w:r>
          </w:p>
          <w:p w14:paraId="4223708D" w14:textId="6CB5AAA6" w:rsidR="00F55B1C" w:rsidRPr="006C060D" w:rsidRDefault="004E3714" w:rsidP="004E3714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sz w:val="24"/>
                <w:szCs w:val="24"/>
              </w:rPr>
              <w:t>support for the University’s proactive approach to engagement with the trade unions whilst acknowledging the constraints of the JNCHES pay framework</w:t>
            </w:r>
            <w:r w:rsidR="002D1887" w:rsidRPr="006C060D">
              <w:rPr>
                <w:rFonts w:eastAsia="Times New Roman"/>
                <w:sz w:val="24"/>
                <w:szCs w:val="24"/>
              </w:rPr>
              <w:t>;</w:t>
            </w:r>
            <w:r w:rsidR="00F55B1C" w:rsidRPr="006C060D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57281905" w14:textId="159DB193" w:rsidR="004E3714" w:rsidRDefault="002D1887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sz w:val="24"/>
                <w:szCs w:val="24"/>
              </w:rPr>
              <w:t>the extent to which AWP and timetabling issues were linked</w:t>
            </w:r>
            <w:r w:rsidR="005D58AE" w:rsidRPr="006C060D">
              <w:rPr>
                <w:rFonts w:eastAsia="Times New Roman"/>
                <w:sz w:val="24"/>
                <w:szCs w:val="24"/>
              </w:rPr>
              <w:t xml:space="preserve">; the DVCA confirmed that the revised AWP model </w:t>
            </w:r>
            <w:r w:rsidR="001A60C0" w:rsidRPr="006C060D">
              <w:rPr>
                <w:rFonts w:eastAsia="Times New Roman"/>
                <w:sz w:val="24"/>
                <w:szCs w:val="24"/>
              </w:rPr>
              <w:t>aimed to reduce pressure</w:t>
            </w:r>
            <w:r w:rsidR="004113DE" w:rsidRPr="006C060D">
              <w:rPr>
                <w:rFonts w:eastAsia="Times New Roman"/>
                <w:sz w:val="24"/>
                <w:szCs w:val="24"/>
              </w:rPr>
              <w:t xml:space="preserve"> on the</w:t>
            </w:r>
            <w:r w:rsidR="001A60C0" w:rsidRPr="006C060D">
              <w:rPr>
                <w:rFonts w:eastAsia="Times New Roman"/>
                <w:sz w:val="24"/>
                <w:szCs w:val="24"/>
              </w:rPr>
              <w:t xml:space="preserve"> </w:t>
            </w:r>
            <w:r w:rsidR="005D58AE" w:rsidRPr="006C060D">
              <w:rPr>
                <w:rFonts w:eastAsia="Times New Roman"/>
                <w:sz w:val="24"/>
                <w:szCs w:val="24"/>
              </w:rPr>
              <w:t>timetabling system</w:t>
            </w:r>
            <w:r w:rsidR="001A60C0" w:rsidRPr="006C060D">
              <w:rPr>
                <w:rFonts w:eastAsia="Times New Roman"/>
                <w:sz w:val="24"/>
                <w:szCs w:val="24"/>
              </w:rPr>
              <w:t xml:space="preserve">. It was crucial to ensure that the timetable was student-led and increase </w:t>
            </w:r>
            <w:r w:rsidR="005D58AE" w:rsidRPr="006C060D">
              <w:rPr>
                <w:rFonts w:eastAsia="Times New Roman"/>
                <w:sz w:val="24"/>
                <w:szCs w:val="24"/>
              </w:rPr>
              <w:t>staff</w:t>
            </w:r>
            <w:r w:rsidR="001A60C0" w:rsidRPr="006C060D">
              <w:rPr>
                <w:rFonts w:eastAsia="Times New Roman"/>
                <w:sz w:val="24"/>
                <w:szCs w:val="24"/>
              </w:rPr>
              <w:t xml:space="preserve"> availability </w:t>
            </w:r>
            <w:r w:rsidR="005D58AE" w:rsidRPr="006C060D">
              <w:rPr>
                <w:rFonts w:eastAsia="Times New Roman"/>
                <w:sz w:val="24"/>
                <w:szCs w:val="24"/>
              </w:rPr>
              <w:t>across the teaching week</w:t>
            </w:r>
            <w:r w:rsidR="001A60C0" w:rsidRPr="006C060D">
              <w:rPr>
                <w:rFonts w:eastAsia="Times New Roman"/>
                <w:sz w:val="24"/>
                <w:szCs w:val="24"/>
              </w:rPr>
              <w:t>. It was suggested</w:t>
            </w:r>
            <w:r w:rsidR="005D58AE" w:rsidRPr="006C060D">
              <w:rPr>
                <w:rFonts w:eastAsia="Times New Roman"/>
                <w:sz w:val="24"/>
                <w:szCs w:val="24"/>
              </w:rPr>
              <w:t xml:space="preserve"> that </w:t>
            </w:r>
            <w:r w:rsidR="001A60C0" w:rsidRPr="006C060D">
              <w:rPr>
                <w:rFonts w:eastAsia="Times New Roman"/>
                <w:sz w:val="24"/>
                <w:szCs w:val="24"/>
              </w:rPr>
              <w:t xml:space="preserve">the Board may benefit from a briefing on </w:t>
            </w:r>
            <w:r w:rsidR="005D58AE" w:rsidRPr="006C060D">
              <w:rPr>
                <w:rFonts w:eastAsia="Times New Roman"/>
                <w:sz w:val="24"/>
                <w:szCs w:val="24"/>
              </w:rPr>
              <w:t>AWP and its impact on the student experience</w:t>
            </w:r>
            <w:r w:rsidR="00481B3A" w:rsidRPr="006C060D">
              <w:rPr>
                <w:rFonts w:eastAsia="Times New Roman"/>
                <w:sz w:val="24"/>
                <w:szCs w:val="24"/>
              </w:rPr>
              <w:t>;</w:t>
            </w:r>
          </w:p>
          <w:p w14:paraId="757191AB" w14:textId="3F15C403" w:rsidR="00ED5151" w:rsidRDefault="00ED5151" w:rsidP="00ED5151">
            <w:pPr>
              <w:tabs>
                <w:tab w:val="left" w:pos="852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ab/>
            </w:r>
          </w:p>
          <w:p w14:paraId="7B85941D" w14:textId="14FE3D5D" w:rsidR="001A48A6" w:rsidRPr="006C060D" w:rsidRDefault="00481B3A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sz w:val="24"/>
                <w:szCs w:val="24"/>
              </w:rPr>
              <w:lastRenderedPageBreak/>
              <w:t>c</w:t>
            </w:r>
            <w:r w:rsidR="005D58AE" w:rsidRPr="006C060D">
              <w:rPr>
                <w:rFonts w:eastAsia="Times New Roman"/>
                <w:sz w:val="24"/>
                <w:szCs w:val="24"/>
              </w:rPr>
              <w:t xml:space="preserve">ommunications </w:t>
            </w:r>
            <w:r w:rsidR="00684EAC" w:rsidRPr="006C060D">
              <w:rPr>
                <w:rFonts w:eastAsia="Times New Roman"/>
                <w:sz w:val="24"/>
                <w:szCs w:val="24"/>
              </w:rPr>
              <w:t>with staff</w:t>
            </w:r>
            <w:r w:rsidR="001A60C0" w:rsidRPr="006C060D">
              <w:rPr>
                <w:rFonts w:eastAsia="Times New Roman"/>
                <w:sz w:val="24"/>
                <w:szCs w:val="24"/>
              </w:rPr>
              <w:t xml:space="preserve"> on change programmes</w:t>
            </w:r>
            <w:r w:rsidR="00684EAC" w:rsidRPr="006C060D">
              <w:rPr>
                <w:rFonts w:eastAsia="Times New Roman"/>
                <w:sz w:val="24"/>
                <w:szCs w:val="24"/>
              </w:rPr>
              <w:t xml:space="preserve"> including Transforming Lives sessions, and the intention to hold face to face sessions in June </w:t>
            </w:r>
            <w:r w:rsidR="001A48A6" w:rsidRPr="006C060D">
              <w:rPr>
                <w:rFonts w:eastAsia="Times New Roman"/>
                <w:sz w:val="24"/>
                <w:szCs w:val="24"/>
              </w:rPr>
              <w:t>led by UEB members.</w:t>
            </w:r>
            <w:r w:rsidR="001A60C0" w:rsidRPr="006C060D">
              <w:rPr>
                <w:rFonts w:eastAsia="Times New Roman"/>
                <w:sz w:val="24"/>
                <w:szCs w:val="24"/>
              </w:rPr>
              <w:t xml:space="preserve"> </w:t>
            </w:r>
            <w:r w:rsidR="006C060D" w:rsidRPr="006C060D">
              <w:rPr>
                <w:rFonts w:eastAsia="Times New Roman"/>
                <w:sz w:val="24"/>
                <w:szCs w:val="24"/>
              </w:rPr>
              <w:t>A confidential minute was recorded.</w:t>
            </w:r>
          </w:p>
          <w:p w14:paraId="200E9F70" w14:textId="2D2E37D3" w:rsidR="001A48A6" w:rsidRPr="006C060D" w:rsidRDefault="00684EAC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sz w:val="24"/>
                <w:szCs w:val="24"/>
              </w:rPr>
              <w:t xml:space="preserve">the benefits of </w:t>
            </w:r>
            <w:r w:rsidR="008036A3" w:rsidRPr="006C060D">
              <w:rPr>
                <w:rFonts w:eastAsia="Times New Roman"/>
                <w:sz w:val="24"/>
                <w:szCs w:val="24"/>
              </w:rPr>
              <w:t>regularly apprising Board members o</w:t>
            </w:r>
            <w:r w:rsidR="00B45016" w:rsidRPr="006C060D">
              <w:rPr>
                <w:rFonts w:eastAsia="Times New Roman"/>
                <w:sz w:val="24"/>
                <w:szCs w:val="24"/>
              </w:rPr>
              <w:t>f</w:t>
            </w:r>
            <w:r w:rsidR="008036A3" w:rsidRPr="006C060D">
              <w:rPr>
                <w:rFonts w:eastAsia="Times New Roman"/>
                <w:sz w:val="24"/>
                <w:szCs w:val="24"/>
              </w:rPr>
              <w:t xml:space="preserve"> change initiatives as </w:t>
            </w:r>
            <w:r w:rsidRPr="006C060D">
              <w:rPr>
                <w:rFonts w:eastAsia="Times New Roman"/>
                <w:sz w:val="24"/>
                <w:szCs w:val="24"/>
              </w:rPr>
              <w:t>ambassadors</w:t>
            </w:r>
            <w:r w:rsidR="001A48A6" w:rsidRPr="006C060D">
              <w:rPr>
                <w:rFonts w:eastAsia="Times New Roman"/>
                <w:sz w:val="24"/>
                <w:szCs w:val="24"/>
              </w:rPr>
              <w:t xml:space="preserve"> </w:t>
            </w:r>
            <w:r w:rsidRPr="006C060D">
              <w:rPr>
                <w:rFonts w:eastAsia="Times New Roman"/>
                <w:sz w:val="24"/>
                <w:szCs w:val="24"/>
              </w:rPr>
              <w:t>of</w:t>
            </w:r>
            <w:r w:rsidR="001A48A6" w:rsidRPr="006C060D">
              <w:rPr>
                <w:rFonts w:eastAsia="Times New Roman"/>
                <w:sz w:val="24"/>
                <w:szCs w:val="24"/>
              </w:rPr>
              <w:t xml:space="preserve"> the University. </w:t>
            </w:r>
          </w:p>
          <w:p w14:paraId="7BF51CAD" w14:textId="77777777" w:rsidR="00481B3A" w:rsidRPr="006C060D" w:rsidRDefault="00684EAC" w:rsidP="00481B3A">
            <w:pPr>
              <w:spacing w:before="60" w:after="60"/>
              <w:rPr>
                <w:rFonts w:eastAsia="Times New Roman"/>
                <w:b/>
                <w:bCs/>
                <w:sz w:val="24"/>
                <w:szCs w:val="24"/>
              </w:rPr>
            </w:pPr>
            <w:r w:rsidRPr="006C060D">
              <w:rPr>
                <w:rFonts w:eastAsia="Times New Roman"/>
                <w:b/>
                <w:bCs/>
                <w:sz w:val="24"/>
                <w:szCs w:val="24"/>
              </w:rPr>
              <w:t xml:space="preserve">Action: </w:t>
            </w:r>
          </w:p>
          <w:p w14:paraId="2D5FB274" w14:textId="77777777" w:rsidR="00684EAC" w:rsidRPr="006C060D" w:rsidRDefault="00684EAC" w:rsidP="00481B3A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eastAsia="Times New Roman"/>
                <w:sz w:val="24"/>
                <w:szCs w:val="24"/>
              </w:rPr>
            </w:pPr>
            <w:r w:rsidRPr="006C060D">
              <w:rPr>
                <w:rFonts w:eastAsia="Times New Roman"/>
                <w:b/>
                <w:bCs/>
                <w:sz w:val="24"/>
                <w:szCs w:val="24"/>
              </w:rPr>
              <w:t xml:space="preserve">Committee Secretary to add </w:t>
            </w:r>
            <w:r w:rsidR="00481B3A" w:rsidRPr="006C060D">
              <w:rPr>
                <w:rFonts w:eastAsia="Times New Roman"/>
                <w:b/>
                <w:bCs/>
                <w:sz w:val="24"/>
                <w:szCs w:val="24"/>
              </w:rPr>
              <w:t>a briefing on AWP to the forward schedule.</w:t>
            </w:r>
          </w:p>
          <w:p w14:paraId="08243A76" w14:textId="2AFBF3D2" w:rsidR="00680D26" w:rsidRPr="006C060D" w:rsidRDefault="00680D26" w:rsidP="00680D26">
            <w:pPr>
              <w:spacing w:before="60" w:after="60"/>
              <w:rPr>
                <w:i/>
                <w:iCs/>
                <w:sz w:val="24"/>
                <w:szCs w:val="24"/>
              </w:rPr>
            </w:pPr>
            <w:r w:rsidRPr="006C060D">
              <w:rPr>
                <w:b/>
                <w:bCs/>
                <w:i/>
                <w:iCs/>
                <w:sz w:val="24"/>
                <w:szCs w:val="24"/>
              </w:rPr>
              <w:t>Post meeting note:</w:t>
            </w:r>
            <w:r w:rsidRPr="006C060D">
              <w:rPr>
                <w:i/>
                <w:iCs/>
                <w:sz w:val="24"/>
                <w:szCs w:val="24"/>
              </w:rPr>
              <w:t xml:space="preserve"> If UCU fail to reach enough votes in the current ballot</w:t>
            </w:r>
            <w:r w:rsidR="006C46CF" w:rsidRPr="006C060D">
              <w:rPr>
                <w:i/>
                <w:iCs/>
                <w:sz w:val="24"/>
                <w:szCs w:val="24"/>
              </w:rPr>
              <w:t>,</w:t>
            </w:r>
            <w:r w:rsidRPr="006C060D">
              <w:rPr>
                <w:i/>
                <w:iCs/>
                <w:sz w:val="24"/>
                <w:szCs w:val="24"/>
              </w:rPr>
              <w:t xml:space="preserve"> </w:t>
            </w:r>
            <w:r w:rsidR="006C46CF" w:rsidRPr="006C060D">
              <w:rPr>
                <w:i/>
                <w:iCs/>
                <w:sz w:val="24"/>
                <w:szCs w:val="24"/>
              </w:rPr>
              <w:t>it</w:t>
            </w:r>
            <w:r w:rsidRPr="006C060D">
              <w:rPr>
                <w:i/>
                <w:iCs/>
                <w:sz w:val="24"/>
                <w:szCs w:val="24"/>
              </w:rPr>
              <w:t xml:space="preserve"> could immediately call another one. Should UCU secure a mandate it </w:t>
            </w:r>
            <w:r w:rsidR="00EB5259" w:rsidRPr="006C060D">
              <w:rPr>
                <w:i/>
                <w:iCs/>
                <w:sz w:val="24"/>
                <w:szCs w:val="24"/>
              </w:rPr>
              <w:t>would</w:t>
            </w:r>
            <w:r w:rsidRPr="006C060D">
              <w:rPr>
                <w:i/>
                <w:iCs/>
                <w:sz w:val="24"/>
                <w:szCs w:val="24"/>
              </w:rPr>
              <w:t xml:space="preserve"> be valid until 19 November 2024.</w:t>
            </w:r>
          </w:p>
        </w:tc>
      </w:tr>
      <w:tr w:rsidR="00A51167" w:rsidRPr="008A753B" w14:paraId="5E178D83" w14:textId="77777777" w:rsidTr="6D45CE17">
        <w:tc>
          <w:tcPr>
            <w:tcW w:w="7939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FA7DB82" w14:textId="77777777" w:rsidR="00A51167" w:rsidRPr="00053161" w:rsidRDefault="00A51167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bookmarkStart w:id="1" w:name="_Hlk114508928"/>
            <w:bookmarkStart w:id="2" w:name="_Hlk119580530"/>
            <w:bookmarkStart w:id="3" w:name="_Hlk128499660"/>
            <w:bookmarkStart w:id="4" w:name="_Hlk120019320"/>
            <w:r w:rsidRPr="00053161">
              <w:rPr>
                <w:b/>
                <w:sz w:val="24"/>
              </w:rPr>
              <w:lastRenderedPageBreak/>
              <w:t>2024/25 BUDGET UPDATE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C0605C2" w14:textId="5F72BC1F" w:rsidR="00A51167" w:rsidRPr="00053161" w:rsidRDefault="00A51167" w:rsidP="00053161">
            <w:pPr>
              <w:pStyle w:val="Heading3"/>
              <w:spacing w:before="60" w:after="60"/>
              <w:ind w:left="-113" w:right="-110"/>
              <w:rPr>
                <w:b/>
                <w:sz w:val="24"/>
              </w:rPr>
            </w:pPr>
          </w:p>
        </w:tc>
      </w:tr>
      <w:tr w:rsidR="004E172E" w:rsidRPr="008A753B" w14:paraId="561E54D1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489CB09B" w14:textId="77777777" w:rsidR="004E172E" w:rsidRPr="008A753B" w:rsidRDefault="004E172E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478DC5E7" w14:textId="1A4E68BA" w:rsidR="004E172E" w:rsidRDefault="00F86D8B" w:rsidP="00F86D8B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Members received a</w:t>
            </w:r>
            <w:r w:rsidR="00481B3A">
              <w:rPr>
                <w:rFonts w:ascii="Calibri" w:eastAsia="Calibri" w:hAnsi="Calibri" w:cs="Calibri"/>
                <w:sz w:val="24"/>
                <w:szCs w:val="24"/>
              </w:rPr>
              <w:t xml:space="preserve"> presentation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from the CFO on</w:t>
            </w:r>
            <w:r w:rsidR="00481B3A">
              <w:rPr>
                <w:rFonts w:ascii="Calibri" w:eastAsia="Calibri" w:hAnsi="Calibri" w:cs="Calibri"/>
                <w:sz w:val="24"/>
                <w:szCs w:val="24"/>
              </w:rPr>
              <w:t xml:space="preserve"> progress with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22B8A">
              <w:rPr>
                <w:rFonts w:ascii="Calibri" w:eastAsia="Calibri" w:hAnsi="Calibri" w:cs="Calibri"/>
                <w:sz w:val="24"/>
                <w:szCs w:val="24"/>
              </w:rPr>
              <w:t>the 2024/25 budget</w:t>
            </w:r>
            <w:r w:rsidR="00481B3A">
              <w:rPr>
                <w:rFonts w:ascii="Calibri" w:eastAsia="Calibri" w:hAnsi="Calibri" w:cs="Calibri"/>
                <w:sz w:val="24"/>
                <w:szCs w:val="24"/>
              </w:rPr>
              <w:t>, particularly</w:t>
            </w:r>
            <w:r w:rsidR="00722B8A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FB6F5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D48377D" w14:textId="42D97FC6" w:rsidR="00722B8A" w:rsidRDefault="00481B3A" w:rsidP="00034F9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 w:rsidR="00FB6F5D">
              <w:rPr>
                <w:rFonts w:ascii="Calibri" w:eastAsia="Calibri" w:hAnsi="Calibri" w:cs="Calibri"/>
                <w:sz w:val="24"/>
                <w:szCs w:val="24"/>
              </w:rPr>
              <w:t>improvement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the financial position since the Period 6 report which was e</w:t>
            </w:r>
            <w:r w:rsidR="00FB6F5D">
              <w:rPr>
                <w:rFonts w:ascii="Calibri" w:eastAsia="Calibri" w:hAnsi="Calibri" w:cs="Calibri"/>
                <w:sz w:val="24"/>
                <w:szCs w:val="24"/>
              </w:rPr>
              <w:t>xpect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="00FB6F5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036A3"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 w:rsidR="00FB6F5D">
              <w:rPr>
                <w:rFonts w:ascii="Calibri" w:eastAsia="Calibri" w:hAnsi="Calibri" w:cs="Calibri"/>
                <w:sz w:val="24"/>
                <w:szCs w:val="24"/>
              </w:rPr>
              <w:t>continue into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eriod </w:t>
            </w:r>
            <w:r w:rsidR="00FB6F5D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="0000320E">
              <w:rPr>
                <w:rFonts w:ascii="Calibri" w:eastAsia="Calibri" w:hAnsi="Calibri" w:cs="Calibri"/>
                <w:sz w:val="24"/>
                <w:szCs w:val="24"/>
              </w:rPr>
              <w:t>, maintaining compliance with the banking covenants;</w:t>
            </w:r>
          </w:p>
          <w:p w14:paraId="594AFAC3" w14:textId="210E4ADE" w:rsidR="00FB6F5D" w:rsidRPr="008036A3" w:rsidRDefault="008036A3" w:rsidP="008036A3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="00481B3A">
              <w:rPr>
                <w:rFonts w:ascii="Calibri" w:eastAsia="Calibri" w:hAnsi="Calibri" w:cs="Calibri"/>
                <w:sz w:val="24"/>
                <w:szCs w:val="24"/>
              </w:rPr>
              <w:t xml:space="preserve"> increase in the savings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requirement previously</w:t>
            </w:r>
            <w:r w:rsidR="00481B3A">
              <w:rPr>
                <w:rFonts w:ascii="Calibri" w:eastAsia="Calibri" w:hAnsi="Calibri" w:cs="Calibri"/>
                <w:sz w:val="24"/>
                <w:szCs w:val="24"/>
              </w:rPr>
              <w:t xml:space="preserve"> reported to the Committee; 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 xml:space="preserve">members were assured that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 financial data was robust,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 xml:space="preserve"> following a comprehensive review,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but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 xml:space="preserve"> that some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duplication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 xml:space="preserve"> had been identified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Further contributing factors included the international recruitment position, particularly the instability in the Nigerian market and the impact of the </w:t>
            </w:r>
            <w:r w:rsidR="00FB6F5D" w:rsidRPr="008036A3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1C30F7" w:rsidRPr="008036A3">
              <w:rPr>
                <w:rFonts w:ascii="Calibri" w:eastAsia="Calibri" w:hAnsi="Calibri" w:cs="Calibri"/>
                <w:sz w:val="24"/>
                <w:szCs w:val="24"/>
              </w:rPr>
              <w:t xml:space="preserve">igration </w:t>
            </w:r>
            <w:r w:rsidR="00FB6F5D" w:rsidRPr="008036A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1C30F7" w:rsidRPr="008036A3">
              <w:rPr>
                <w:rFonts w:ascii="Calibri" w:eastAsia="Calibri" w:hAnsi="Calibri" w:cs="Calibri"/>
                <w:sz w:val="24"/>
                <w:szCs w:val="24"/>
              </w:rPr>
              <w:t xml:space="preserve">dvisory </w:t>
            </w:r>
            <w:r w:rsidR="00FB6F5D" w:rsidRPr="008036A3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1C30F7" w:rsidRPr="008036A3">
              <w:rPr>
                <w:rFonts w:ascii="Calibri" w:eastAsia="Calibri" w:hAnsi="Calibri" w:cs="Calibri"/>
                <w:sz w:val="24"/>
                <w:szCs w:val="24"/>
              </w:rPr>
              <w:t>ommittee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</w:t>
            </w:r>
            <w:r w:rsidR="00FB6F5D" w:rsidRPr="008036A3">
              <w:rPr>
                <w:rFonts w:ascii="Calibri" w:eastAsia="Calibri" w:hAnsi="Calibri" w:cs="Calibri"/>
                <w:sz w:val="24"/>
                <w:szCs w:val="24"/>
              </w:rPr>
              <w:t xml:space="preserve"> review of graduate work visas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A51167">
              <w:rPr>
                <w:rFonts w:ascii="Calibri" w:eastAsia="Calibri" w:hAnsi="Calibri" w:cs="Calibri"/>
                <w:sz w:val="24"/>
                <w:szCs w:val="24"/>
              </w:rPr>
              <w:t>and a</w:t>
            </w:r>
            <w:r w:rsidR="001C30F7" w:rsidRPr="008036A3">
              <w:rPr>
                <w:rFonts w:ascii="Calibri" w:eastAsia="Calibri" w:hAnsi="Calibri" w:cs="Calibri"/>
                <w:sz w:val="24"/>
                <w:szCs w:val="24"/>
              </w:rPr>
              <w:t xml:space="preserve"> worsening</w:t>
            </w:r>
            <w:r w:rsidR="00FB6F5D" w:rsidRPr="008036A3">
              <w:rPr>
                <w:rFonts w:ascii="Calibri" w:eastAsia="Calibri" w:hAnsi="Calibri" w:cs="Calibri"/>
                <w:sz w:val="24"/>
                <w:szCs w:val="24"/>
              </w:rPr>
              <w:t xml:space="preserve"> student retention</w:t>
            </w:r>
            <w:r w:rsidR="00A51167">
              <w:rPr>
                <w:rFonts w:ascii="Calibri" w:eastAsia="Calibri" w:hAnsi="Calibri" w:cs="Calibri"/>
                <w:sz w:val="24"/>
                <w:szCs w:val="24"/>
              </w:rPr>
              <w:t xml:space="preserve"> picture</w:t>
            </w:r>
            <w:r w:rsidR="001C30F7" w:rsidRPr="008036A3">
              <w:rPr>
                <w:rFonts w:ascii="Calibri" w:eastAsia="Calibri" w:hAnsi="Calibri" w:cs="Calibri"/>
                <w:sz w:val="24"/>
                <w:szCs w:val="24"/>
              </w:rPr>
              <w:t>; and</w:t>
            </w:r>
          </w:p>
          <w:p w14:paraId="30BA640C" w14:textId="6E810FD4" w:rsidR="00481B3A" w:rsidRPr="00AD5FFF" w:rsidRDefault="00F302C6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AD5FFF">
              <w:rPr>
                <w:rFonts w:ascii="Calibri" w:eastAsia="Calibri" w:hAnsi="Calibri" w:cs="Calibri"/>
                <w:sz w:val="24"/>
                <w:szCs w:val="24"/>
              </w:rPr>
              <w:t>plans to achieve</w:t>
            </w:r>
            <w:r w:rsidR="00AD5FFF" w:rsidRPr="00AD5FFF">
              <w:rPr>
                <w:rFonts w:ascii="Calibri" w:eastAsia="Calibri" w:hAnsi="Calibri" w:cs="Calibri"/>
                <w:sz w:val="24"/>
                <w:szCs w:val="24"/>
              </w:rPr>
              <w:t xml:space="preserve"> the</w:t>
            </w:r>
            <w:r w:rsidR="00FB6F5D" w:rsidRPr="00AD5F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D5FFF">
              <w:rPr>
                <w:rFonts w:ascii="Calibri" w:eastAsia="Calibri" w:hAnsi="Calibri" w:cs="Calibri"/>
                <w:sz w:val="24"/>
                <w:szCs w:val="24"/>
              </w:rPr>
              <w:t>saving</w:t>
            </w:r>
            <w:r w:rsidR="00AD5FFF" w:rsidRPr="00AD5FFF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C177F2" w:rsidRPr="00AD5FFF">
              <w:rPr>
                <w:rFonts w:ascii="Calibri" w:eastAsia="Calibri" w:hAnsi="Calibri" w:cs="Calibri"/>
                <w:sz w:val="24"/>
                <w:szCs w:val="24"/>
              </w:rPr>
              <w:t xml:space="preserve"> in addition to </w:t>
            </w:r>
            <w:r w:rsidR="00AD5FFF" w:rsidRPr="00AD5FFF">
              <w:rPr>
                <w:rFonts w:ascii="Calibri" w:eastAsia="Calibri" w:hAnsi="Calibri" w:cs="Calibri"/>
                <w:sz w:val="24"/>
                <w:szCs w:val="24"/>
              </w:rPr>
              <w:t xml:space="preserve">academic and Professional Services </w:t>
            </w:r>
            <w:r w:rsidR="00C177F2" w:rsidRPr="00AD5FFF">
              <w:rPr>
                <w:rFonts w:ascii="Calibri" w:eastAsia="Calibri" w:hAnsi="Calibri" w:cs="Calibri"/>
                <w:sz w:val="24"/>
                <w:szCs w:val="24"/>
              </w:rPr>
              <w:t>workforce changes</w:t>
            </w:r>
            <w:r w:rsidR="006C060D">
              <w:rPr>
                <w:rFonts w:ascii="Calibri" w:eastAsia="Calibri" w:hAnsi="Calibri" w:cs="Calibri"/>
                <w:sz w:val="24"/>
                <w:szCs w:val="24"/>
              </w:rPr>
              <w:t xml:space="preserve">. A confidential minute was recorded. </w:t>
            </w:r>
            <w:r w:rsidR="00C177F2" w:rsidRPr="00AD5FFF">
              <w:rPr>
                <w:rFonts w:ascii="Calibri" w:eastAsia="Calibri" w:hAnsi="Calibri" w:cs="Calibri"/>
                <w:sz w:val="24"/>
                <w:szCs w:val="24"/>
              </w:rPr>
              <w:t>Proposals</w:t>
            </w:r>
            <w:r w:rsidR="00FF546F" w:rsidRPr="00AD5FFF">
              <w:rPr>
                <w:rFonts w:ascii="Calibri" w:eastAsia="Calibri" w:hAnsi="Calibri" w:cs="Calibri"/>
                <w:sz w:val="24"/>
                <w:szCs w:val="24"/>
              </w:rPr>
              <w:t xml:space="preserve"> would be presented to FEC in June for Board approval in July.</w:t>
            </w:r>
          </w:p>
          <w:p w14:paraId="3E30183B" w14:textId="19A0C7F1" w:rsidR="00FB6F5D" w:rsidRPr="00481B3A" w:rsidRDefault="00481B3A" w:rsidP="00481B3A">
            <w:pPr>
              <w:spacing w:before="60"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81B3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Action: Committee Secretary to circulate the presentation after the meeting.</w:t>
            </w:r>
          </w:p>
        </w:tc>
      </w:tr>
      <w:tr w:rsidR="00FB6F5D" w:rsidRPr="008A753B" w14:paraId="0DA2281F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1BEB909A" w14:textId="1E3B9954" w:rsidR="00FB6F5D" w:rsidRDefault="00FB6F5D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44BCAA30" w14:textId="77777777" w:rsidR="002702BE" w:rsidRDefault="002702BE" w:rsidP="002702BE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Members raised the following comments:</w:t>
            </w:r>
          </w:p>
          <w:p w14:paraId="3D9E5993" w14:textId="2155B7E4" w:rsidR="00FB6F5D" w:rsidRPr="002702BE" w:rsidRDefault="002702BE" w:rsidP="002702BE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need for </w:t>
            </w:r>
            <w:r w:rsidR="00A2416C" w:rsidRPr="002702BE">
              <w:rPr>
                <w:rFonts w:ascii="Calibri" w:eastAsia="Calibri" w:hAnsi="Calibri" w:cs="Calibri"/>
                <w:sz w:val="24"/>
                <w:szCs w:val="24"/>
              </w:rPr>
              <w:t>UEB need to take some difficult decisions</w:t>
            </w:r>
            <w:r w:rsidR="00FF546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>facilitated by</w:t>
            </w:r>
            <w:r w:rsidR="00FF546F">
              <w:rPr>
                <w:rFonts w:ascii="Calibri" w:eastAsia="Calibri" w:hAnsi="Calibri" w:cs="Calibri"/>
                <w:sz w:val="24"/>
                <w:szCs w:val="24"/>
              </w:rPr>
              <w:t xml:space="preserve"> agile decision-making structures and clear leadership;</w:t>
            </w:r>
          </w:p>
          <w:p w14:paraId="7ECC2CFE" w14:textId="203BB92E" w:rsidR="00A2416C" w:rsidRDefault="00FF546F" w:rsidP="002658D7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 xml:space="preserve">apparently low average teaching allocation; it was noted that current structures and perceptions around the length of the teaching year </w:t>
            </w:r>
            <w:r w:rsidR="002719C0">
              <w:rPr>
                <w:rFonts w:ascii="Calibri" w:eastAsia="Calibri" w:hAnsi="Calibri" w:cs="Calibri"/>
                <w:sz w:val="24"/>
                <w:szCs w:val="24"/>
              </w:rPr>
              <w:t xml:space="preserve">impeded the realisation of the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target number of </w:t>
            </w:r>
            <w:r w:rsidR="00C177F2">
              <w:rPr>
                <w:rFonts w:ascii="Calibri" w:eastAsia="Calibri" w:hAnsi="Calibri" w:cs="Calibri"/>
                <w:sz w:val="24"/>
                <w:szCs w:val="24"/>
              </w:rPr>
              <w:t xml:space="preserve">teaching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hours</w:t>
            </w:r>
            <w:r w:rsidR="002719C0">
              <w:rPr>
                <w:rFonts w:ascii="Calibri" w:eastAsia="Calibri" w:hAnsi="Calibri" w:cs="Calibri"/>
                <w:sz w:val="24"/>
                <w:szCs w:val="24"/>
              </w:rPr>
              <w:t xml:space="preserve">, but that this should be </w:t>
            </w:r>
            <w:r w:rsidR="00E6413A">
              <w:rPr>
                <w:rFonts w:ascii="Calibri" w:eastAsia="Calibri" w:hAnsi="Calibri" w:cs="Calibri"/>
                <w:sz w:val="24"/>
                <w:szCs w:val="24"/>
              </w:rPr>
              <w:t xml:space="preserve">in part </w:t>
            </w:r>
            <w:r w:rsidR="002719C0">
              <w:rPr>
                <w:rFonts w:ascii="Calibri" w:eastAsia="Calibri" w:hAnsi="Calibri" w:cs="Calibri"/>
                <w:sz w:val="24"/>
                <w:szCs w:val="24"/>
              </w:rPr>
              <w:t>addressed by the new AWP model; and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71722E3" w14:textId="098181A7" w:rsidR="00A2416C" w:rsidRPr="002658D7" w:rsidRDefault="006C060D" w:rsidP="002719C0">
            <w:pPr>
              <w:pStyle w:val="ListParagraph"/>
              <w:numPr>
                <w:ilvl w:val="0"/>
                <w:numId w:val="25"/>
              </w:numPr>
              <w:spacing w:before="60" w:after="60"/>
              <w:ind w:left="357" w:hanging="357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confidential minute was recorded.</w:t>
            </w:r>
            <w:r w:rsidR="008C2744" w:rsidRPr="002658D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053161" w:rsidRPr="008A753B" w14:paraId="2A23FCAB" w14:textId="77777777" w:rsidTr="6D45CE17"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81C901" w14:textId="72E23B69" w:rsidR="00053161" w:rsidRPr="004E4D3F" w:rsidRDefault="00053161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r w:rsidRPr="004E4D3F">
              <w:rPr>
                <w:b/>
                <w:sz w:val="24"/>
              </w:rPr>
              <w:t>ESTATES REPORT</w:t>
            </w:r>
            <w:r w:rsidRPr="00053161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681CC0" w14:textId="6C0E2ABF" w:rsidR="00053161" w:rsidRPr="004E4D3F" w:rsidRDefault="00053161" w:rsidP="000E1EF4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FEC_2024_05_01_P7</w:t>
            </w:r>
          </w:p>
        </w:tc>
      </w:tr>
      <w:bookmarkEnd w:id="1"/>
      <w:bookmarkEnd w:id="2"/>
      <w:bookmarkEnd w:id="3"/>
      <w:bookmarkEnd w:id="4"/>
      <w:tr w:rsidR="001C0F4A" w:rsidRPr="008A753B" w14:paraId="4E313624" w14:textId="77777777" w:rsidTr="6D45CE17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41A0FCF8" w14:textId="448FACD3" w:rsidR="001C0F4A" w:rsidRPr="008A753B" w:rsidRDefault="004E172E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C0F4A">
              <w:rPr>
                <w:sz w:val="24"/>
                <w:szCs w:val="24"/>
              </w:rPr>
              <w:t>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C5F77" w14:textId="4A10A2D3" w:rsidR="001C0F4A" w:rsidRPr="006C060D" w:rsidRDefault="002719C0" w:rsidP="00F86D8B">
            <w:pPr>
              <w:spacing w:before="60"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6C060D">
              <w:rPr>
                <w:rFonts w:ascii="Calibri" w:eastAsia="Calibri" w:hAnsi="Calibri" w:cs="Calibri"/>
                <w:sz w:val="24"/>
                <w:szCs w:val="24"/>
              </w:rPr>
              <w:t>The Interim COO</w:t>
            </w:r>
            <w:r w:rsidR="00034F9F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briefed</w:t>
            </w:r>
            <w:r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the Committee</w:t>
            </w:r>
            <w:r w:rsidR="00034F9F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on </w:t>
            </w:r>
            <w:r w:rsidR="001A1BCB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estates </w:t>
            </w:r>
            <w:r w:rsidR="00034F9F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developments </w:t>
            </w:r>
            <w:r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since the previous meeting, based </w:t>
            </w:r>
            <w:r w:rsidR="0013549C" w:rsidRPr="006C060D">
              <w:rPr>
                <w:rFonts w:ascii="Calibri" w:eastAsia="Calibri" w:hAnsi="Calibri" w:cs="Calibri"/>
                <w:sz w:val="24"/>
                <w:szCs w:val="24"/>
              </w:rPr>
              <w:t>on a</w:t>
            </w:r>
            <w:r w:rsidR="0013549C" w:rsidRPr="006C060D">
              <w:rPr>
                <w:sz w:val="24"/>
                <w:szCs w:val="24"/>
              </w:rPr>
              <w:t xml:space="preserve"> slower pace of campus development to reflect the reduced capital investment available</w:t>
            </w:r>
            <w:r w:rsidRPr="006C060D">
              <w:rPr>
                <w:rFonts w:ascii="Calibri" w:eastAsia="Calibri" w:hAnsi="Calibri" w:cs="Calibri"/>
                <w:sz w:val="24"/>
                <w:szCs w:val="24"/>
              </w:rPr>
              <w:t>. Key elements included</w:t>
            </w:r>
            <w:r w:rsidR="00034F9F" w:rsidRPr="006C060D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="00F86D8B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06564AF" w14:textId="7E0F5E40" w:rsidR="005E3C6B" w:rsidRPr="006C060D" w:rsidRDefault="005E3C6B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the Estates Capital Plan </w:t>
            </w:r>
            <w:r w:rsidR="002719C0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which </w:t>
            </w:r>
            <w:r w:rsidRPr="006C060D">
              <w:rPr>
                <w:sz w:val="24"/>
                <w:szCs w:val="24"/>
              </w:rPr>
              <w:t xml:space="preserve">needed further </w:t>
            </w:r>
            <w:r w:rsidR="002719C0" w:rsidRPr="006C060D">
              <w:rPr>
                <w:sz w:val="24"/>
                <w:szCs w:val="24"/>
              </w:rPr>
              <w:t>definition</w:t>
            </w:r>
            <w:r w:rsidRPr="006C060D">
              <w:rPr>
                <w:sz w:val="24"/>
                <w:szCs w:val="24"/>
              </w:rPr>
              <w:t xml:space="preserve"> from 2026/27 onwards</w:t>
            </w:r>
            <w:r w:rsidR="006C060D" w:rsidRPr="006C060D">
              <w:rPr>
                <w:sz w:val="24"/>
                <w:szCs w:val="24"/>
              </w:rPr>
              <w:t xml:space="preserve">. </w:t>
            </w:r>
            <w:r w:rsidR="006C060D" w:rsidRPr="006C060D">
              <w:rPr>
                <w:rFonts w:ascii="Calibri" w:eastAsia="Calibri" w:hAnsi="Calibri" w:cs="Calibri"/>
                <w:sz w:val="24"/>
                <w:szCs w:val="24"/>
              </w:rPr>
              <w:t>A confidential minute was recorded.</w:t>
            </w:r>
          </w:p>
          <w:p w14:paraId="044B095E" w14:textId="279EE761" w:rsidR="00F55336" w:rsidRPr="006C060D" w:rsidRDefault="005E3C6B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sz w:val="24"/>
                <w:szCs w:val="24"/>
              </w:rPr>
            </w:pPr>
            <w:r w:rsidRPr="006C060D">
              <w:rPr>
                <w:sz w:val="24"/>
                <w:szCs w:val="24"/>
              </w:rPr>
              <w:t xml:space="preserve"> </w:t>
            </w:r>
            <w:r w:rsidRPr="006C060D">
              <w:rPr>
                <w:rFonts w:ascii="Calibri" w:eastAsia="Calibri" w:hAnsi="Calibri" w:cs="Calibri"/>
                <w:sz w:val="24"/>
                <w:szCs w:val="24"/>
              </w:rPr>
              <w:t>plans</w:t>
            </w:r>
            <w:r w:rsidR="00532B53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to </w:t>
            </w:r>
            <w:r w:rsidR="0079360F" w:rsidRPr="006C060D">
              <w:rPr>
                <w:rFonts w:eastAsiaTheme="minorEastAsia"/>
                <w:sz w:val="24"/>
                <w:szCs w:val="24"/>
              </w:rPr>
              <w:t>consolidate the portfolio</w:t>
            </w:r>
            <w:r w:rsidR="00F55336" w:rsidRPr="006C060D">
              <w:rPr>
                <w:rFonts w:eastAsiaTheme="minorEastAsia"/>
                <w:sz w:val="24"/>
                <w:szCs w:val="24"/>
              </w:rPr>
              <w:t xml:space="preserve"> by:</w:t>
            </w:r>
          </w:p>
          <w:p w14:paraId="37D8F83A" w14:textId="63E17024" w:rsidR="006C3475" w:rsidRPr="006C060D" w:rsidRDefault="00532B53" w:rsidP="00163C5F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 w:rsidRPr="006C060D">
              <w:rPr>
                <w:rFonts w:ascii="Calibri" w:eastAsia="Calibri" w:hAnsi="Calibri" w:cs="Calibri"/>
                <w:sz w:val="24"/>
                <w:szCs w:val="24"/>
              </w:rPr>
              <w:t>generat</w:t>
            </w:r>
            <w:r w:rsidR="00D925E6" w:rsidRPr="006C060D">
              <w:rPr>
                <w:rFonts w:ascii="Calibri" w:eastAsia="Calibri" w:hAnsi="Calibri" w:cs="Calibri"/>
                <w:sz w:val="24"/>
                <w:szCs w:val="24"/>
              </w:rPr>
              <w:t>ing</w:t>
            </w:r>
            <w:r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income</w:t>
            </w:r>
            <w:r w:rsidR="00864E33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from the disposal of </w:t>
            </w:r>
            <w:r w:rsidR="008C2744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smaller </w:t>
            </w:r>
            <w:r w:rsidR="002719C0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underutilised </w:t>
            </w:r>
            <w:r w:rsidR="008C2744" w:rsidRPr="006C060D">
              <w:rPr>
                <w:rFonts w:ascii="Calibri" w:eastAsia="Calibri" w:hAnsi="Calibri" w:cs="Calibri"/>
                <w:sz w:val="24"/>
                <w:szCs w:val="24"/>
              </w:rPr>
              <w:t>premises of low strategic value</w:t>
            </w:r>
            <w:r w:rsidR="002719C0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C61DC" w:rsidRPr="006C060D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="002719C0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/or </w:t>
            </w:r>
            <w:r w:rsidR="00864E33" w:rsidRPr="006C060D">
              <w:rPr>
                <w:rFonts w:ascii="Calibri" w:eastAsia="Calibri" w:hAnsi="Calibri" w:cs="Calibri"/>
                <w:sz w:val="24"/>
                <w:szCs w:val="24"/>
              </w:rPr>
              <w:t>in poor condition</w:t>
            </w:r>
            <w:r w:rsidR="007D4F95" w:rsidRPr="006C060D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034B8F6B" w14:textId="5B8D3A84" w:rsidR="007D4F95" w:rsidRPr="006C060D" w:rsidRDefault="006C060D" w:rsidP="007D4F95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</w:rPr>
            </w:pPr>
            <w:r w:rsidRPr="006C060D">
              <w:rPr>
                <w:rFonts w:eastAsiaTheme="minorEastAsia"/>
                <w:sz w:val="24"/>
                <w:szCs w:val="24"/>
              </w:rPr>
              <w:t>a confidential minute was recorded;</w:t>
            </w:r>
          </w:p>
          <w:p w14:paraId="4FCF7330" w14:textId="1BCA2414" w:rsidR="00F76CAD" w:rsidRPr="006C060D" w:rsidRDefault="00163C5F" w:rsidP="00163C5F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 w:rsidRPr="006C060D">
              <w:rPr>
                <w:rFonts w:eastAsiaTheme="minorEastAsia"/>
                <w:sz w:val="24"/>
                <w:szCs w:val="24"/>
              </w:rPr>
              <w:t>t</w:t>
            </w:r>
            <w:r w:rsidR="001834A1" w:rsidRPr="006C060D">
              <w:rPr>
                <w:rFonts w:eastAsiaTheme="minorEastAsia"/>
                <w:sz w:val="24"/>
                <w:szCs w:val="24"/>
              </w:rPr>
              <w:t xml:space="preserve">he </w:t>
            </w:r>
            <w:r w:rsidRPr="006C060D">
              <w:rPr>
                <w:rFonts w:eastAsiaTheme="minorEastAsia"/>
                <w:sz w:val="24"/>
                <w:szCs w:val="24"/>
              </w:rPr>
              <w:t xml:space="preserve">planned disposal of </w:t>
            </w:r>
            <w:r w:rsidR="001834A1" w:rsidRPr="006C060D">
              <w:rPr>
                <w:rFonts w:eastAsiaTheme="minorEastAsia"/>
                <w:sz w:val="24"/>
                <w:szCs w:val="24"/>
              </w:rPr>
              <w:t xml:space="preserve">the OneLeven </w:t>
            </w:r>
            <w:r w:rsidR="000D54BD" w:rsidRPr="006C060D">
              <w:rPr>
                <w:rFonts w:eastAsiaTheme="minorEastAsia"/>
                <w:sz w:val="24"/>
                <w:szCs w:val="24"/>
              </w:rPr>
              <w:t xml:space="preserve">Building </w:t>
            </w:r>
            <w:r w:rsidRPr="006C060D">
              <w:rPr>
                <w:rFonts w:eastAsiaTheme="minorEastAsia"/>
                <w:sz w:val="24"/>
                <w:szCs w:val="24"/>
              </w:rPr>
              <w:t>which would be vaca</w:t>
            </w:r>
            <w:r w:rsidR="002719C0" w:rsidRPr="006C060D">
              <w:rPr>
                <w:rFonts w:eastAsiaTheme="minorEastAsia"/>
                <w:sz w:val="24"/>
                <w:szCs w:val="24"/>
              </w:rPr>
              <w:t xml:space="preserve">nt </w:t>
            </w:r>
            <w:r w:rsidR="000D54BD" w:rsidRPr="006C060D">
              <w:rPr>
                <w:rFonts w:eastAsiaTheme="minorEastAsia"/>
                <w:sz w:val="24"/>
                <w:szCs w:val="24"/>
              </w:rPr>
              <w:t xml:space="preserve">by </w:t>
            </w:r>
            <w:r w:rsidR="006C3475" w:rsidRPr="006C060D">
              <w:rPr>
                <w:rFonts w:eastAsiaTheme="minorEastAsia"/>
                <w:sz w:val="24"/>
                <w:szCs w:val="24"/>
              </w:rPr>
              <w:t>the end of th</w:t>
            </w:r>
            <w:r w:rsidR="002719C0" w:rsidRPr="006C060D">
              <w:rPr>
                <w:rFonts w:eastAsiaTheme="minorEastAsia"/>
                <w:sz w:val="24"/>
                <w:szCs w:val="24"/>
              </w:rPr>
              <w:t xml:space="preserve">is </w:t>
            </w:r>
            <w:r w:rsidR="006C3475" w:rsidRPr="006C060D">
              <w:rPr>
                <w:rFonts w:eastAsiaTheme="minorEastAsia"/>
                <w:sz w:val="24"/>
                <w:szCs w:val="24"/>
              </w:rPr>
              <w:t>academic year</w:t>
            </w:r>
            <w:r w:rsidRPr="006C060D">
              <w:rPr>
                <w:rFonts w:eastAsiaTheme="minorEastAsia"/>
                <w:sz w:val="24"/>
                <w:szCs w:val="24"/>
              </w:rPr>
              <w:t>; and</w:t>
            </w:r>
          </w:p>
          <w:p w14:paraId="594F4F8B" w14:textId="358C3B38" w:rsidR="00EC7B6F" w:rsidRPr="006C060D" w:rsidRDefault="006C060D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sz w:val="24"/>
                <w:szCs w:val="24"/>
              </w:rPr>
            </w:pPr>
            <w:r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a confidential minute was recorded; </w:t>
            </w:r>
            <w:r w:rsidR="00163C5F" w:rsidRPr="006C060D">
              <w:rPr>
                <w:rFonts w:ascii="Calibri" w:eastAsia="Calibri" w:hAnsi="Calibri" w:cs="Calibri"/>
                <w:sz w:val="24"/>
                <w:szCs w:val="24"/>
              </w:rPr>
              <w:t>and</w:t>
            </w:r>
          </w:p>
          <w:p w14:paraId="58158F8F" w14:textId="76E2FB92" w:rsidR="00F94643" w:rsidRPr="006C060D" w:rsidRDefault="00C25B94" w:rsidP="0022587F">
            <w:pPr>
              <w:pStyle w:val="ListParagraph"/>
              <w:numPr>
                <w:ilvl w:val="0"/>
                <w:numId w:val="31"/>
              </w:numPr>
              <w:spacing w:before="60" w:after="60"/>
              <w:ind w:left="357" w:hanging="357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6C060D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3E55AF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rogress with </w:t>
            </w:r>
            <w:r w:rsidR="00DB033C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the </w:t>
            </w:r>
            <w:r w:rsidR="003E55AF" w:rsidRPr="006C060D">
              <w:rPr>
                <w:rFonts w:ascii="Calibri" w:eastAsia="Calibri" w:hAnsi="Calibri" w:cs="Calibri"/>
                <w:sz w:val="24"/>
                <w:szCs w:val="24"/>
              </w:rPr>
              <w:t>Howard St development</w:t>
            </w:r>
            <w:r w:rsidR="006700F3" w:rsidRPr="006C060D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22587F" w:rsidRPr="006C060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67075A" w:rsidRPr="008A753B" w14:paraId="4B22D184" w14:textId="77777777" w:rsidTr="6D45CE17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09323A" w14:textId="0357139C" w:rsidR="0067075A" w:rsidRDefault="00F86D8B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nil"/>
            </w:tcBorders>
          </w:tcPr>
          <w:p w14:paraId="17FF9EF1" w14:textId="04C24469" w:rsidR="00EE4815" w:rsidRDefault="00C01DE5" w:rsidP="00BC7B8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  <w:r w:rsidR="00BE103A">
              <w:rPr>
                <w:sz w:val="24"/>
                <w:szCs w:val="24"/>
              </w:rPr>
              <w:t xml:space="preserve">s </w:t>
            </w:r>
            <w:r w:rsidR="00EE4815">
              <w:rPr>
                <w:sz w:val="24"/>
                <w:szCs w:val="24"/>
              </w:rPr>
              <w:t xml:space="preserve">discussed commercialisation opportunities </w:t>
            </w:r>
            <w:r w:rsidR="006E3165">
              <w:rPr>
                <w:sz w:val="24"/>
                <w:szCs w:val="24"/>
              </w:rPr>
              <w:t xml:space="preserve">in relation to </w:t>
            </w:r>
            <w:r w:rsidR="00EE4815">
              <w:rPr>
                <w:sz w:val="24"/>
                <w:szCs w:val="24"/>
              </w:rPr>
              <w:t>sport, events and catering</w:t>
            </w:r>
            <w:r w:rsidR="009C7FFC">
              <w:rPr>
                <w:sz w:val="24"/>
                <w:szCs w:val="24"/>
              </w:rPr>
              <w:t xml:space="preserve">, noting that </w:t>
            </w:r>
            <w:r w:rsidR="002719C0">
              <w:rPr>
                <w:sz w:val="24"/>
                <w:szCs w:val="24"/>
              </w:rPr>
              <w:t>the city would benefit from an events space in close proximity</w:t>
            </w:r>
            <w:r w:rsidR="009C7FFC">
              <w:rPr>
                <w:sz w:val="24"/>
                <w:szCs w:val="24"/>
              </w:rPr>
              <w:t xml:space="preserve"> to the </w:t>
            </w:r>
            <w:r w:rsidR="00862408">
              <w:rPr>
                <w:sz w:val="24"/>
                <w:szCs w:val="24"/>
              </w:rPr>
              <w:t xml:space="preserve">rail </w:t>
            </w:r>
            <w:r w:rsidR="009C7FFC">
              <w:rPr>
                <w:sz w:val="24"/>
                <w:szCs w:val="24"/>
              </w:rPr>
              <w:t>station</w:t>
            </w:r>
            <w:r w:rsidR="002719C0">
              <w:rPr>
                <w:sz w:val="24"/>
                <w:szCs w:val="24"/>
              </w:rPr>
              <w:t>.</w:t>
            </w:r>
            <w:r w:rsidR="009C7FFC">
              <w:rPr>
                <w:sz w:val="24"/>
                <w:szCs w:val="24"/>
              </w:rPr>
              <w:t xml:space="preserve"> </w:t>
            </w:r>
          </w:p>
          <w:p w14:paraId="0611A1D1" w14:textId="32E079E5" w:rsidR="00FD317A" w:rsidRDefault="009C7FFC" w:rsidP="00BC7B8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noted that the concerns expressed by the Students’ Union on the s</w:t>
            </w:r>
            <w:r w:rsidR="00FD317A" w:rsidRPr="002658D7">
              <w:rPr>
                <w:sz w:val="24"/>
                <w:szCs w:val="24"/>
              </w:rPr>
              <w:t xml:space="preserve">uitability of </w:t>
            </w:r>
            <w:r w:rsidR="00063156">
              <w:rPr>
                <w:sz w:val="24"/>
                <w:szCs w:val="24"/>
              </w:rPr>
              <w:t xml:space="preserve">the </w:t>
            </w:r>
            <w:r w:rsidR="00FD317A" w:rsidRPr="002658D7">
              <w:rPr>
                <w:sz w:val="24"/>
                <w:szCs w:val="24"/>
              </w:rPr>
              <w:t xml:space="preserve">Career Connect building </w:t>
            </w:r>
            <w:r w:rsidR="002719C0">
              <w:rPr>
                <w:sz w:val="24"/>
                <w:szCs w:val="24"/>
              </w:rPr>
              <w:t xml:space="preserve">for their activities </w:t>
            </w:r>
            <w:r>
              <w:rPr>
                <w:sz w:val="24"/>
                <w:szCs w:val="24"/>
              </w:rPr>
              <w:t xml:space="preserve">had been </w:t>
            </w:r>
            <w:r w:rsidR="002719C0">
              <w:rPr>
                <w:sz w:val="24"/>
                <w:szCs w:val="24"/>
              </w:rPr>
              <w:t xml:space="preserve">largely </w:t>
            </w:r>
            <w:r>
              <w:rPr>
                <w:sz w:val="24"/>
                <w:szCs w:val="24"/>
              </w:rPr>
              <w:t xml:space="preserve">resolved and </w:t>
            </w:r>
            <w:r w:rsidR="002719C0">
              <w:rPr>
                <w:sz w:val="24"/>
                <w:szCs w:val="24"/>
              </w:rPr>
              <w:t xml:space="preserve">that </w:t>
            </w:r>
            <w:r w:rsidR="009C16D3">
              <w:rPr>
                <w:sz w:val="24"/>
                <w:szCs w:val="24"/>
              </w:rPr>
              <w:t xml:space="preserve">the University was </w:t>
            </w:r>
            <w:r w:rsidR="002719C0">
              <w:rPr>
                <w:sz w:val="24"/>
                <w:szCs w:val="24"/>
              </w:rPr>
              <w:t>investigating</w:t>
            </w:r>
            <w:r w:rsidR="00FD317A" w:rsidRPr="002658D7">
              <w:rPr>
                <w:sz w:val="24"/>
                <w:szCs w:val="24"/>
              </w:rPr>
              <w:t xml:space="preserve"> options for </w:t>
            </w:r>
            <w:r w:rsidR="002719C0">
              <w:rPr>
                <w:sz w:val="24"/>
                <w:szCs w:val="24"/>
              </w:rPr>
              <w:t xml:space="preserve">accommodating </w:t>
            </w:r>
            <w:r w:rsidR="00FD317A" w:rsidRPr="002658D7">
              <w:rPr>
                <w:sz w:val="24"/>
                <w:szCs w:val="24"/>
              </w:rPr>
              <w:t xml:space="preserve">certain </w:t>
            </w:r>
            <w:r w:rsidR="009C16D3" w:rsidRPr="002658D7">
              <w:rPr>
                <w:sz w:val="24"/>
                <w:szCs w:val="24"/>
              </w:rPr>
              <w:t>activities</w:t>
            </w:r>
            <w:r w:rsidR="00FD317A" w:rsidRPr="002658D7">
              <w:rPr>
                <w:sz w:val="24"/>
                <w:szCs w:val="24"/>
              </w:rPr>
              <w:t xml:space="preserve"> in the wider estate.</w:t>
            </w:r>
          </w:p>
          <w:p w14:paraId="1829DF63" w14:textId="1C71E1AE" w:rsidR="00FD317A" w:rsidRDefault="009C16D3" w:rsidP="00BC7B8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response to a member’s query on the impact of a delayed exit from Collegiate </w:t>
            </w:r>
            <w:r w:rsidR="002719C0">
              <w:rPr>
                <w:sz w:val="24"/>
                <w:szCs w:val="24"/>
              </w:rPr>
              <w:t xml:space="preserve">on the University’s </w:t>
            </w:r>
            <w:r>
              <w:rPr>
                <w:sz w:val="24"/>
                <w:szCs w:val="24"/>
              </w:rPr>
              <w:t>published climate action commitments, the Interim COO reported that</w:t>
            </w:r>
            <w:r w:rsidR="00862408">
              <w:rPr>
                <w:sz w:val="24"/>
                <w:szCs w:val="24"/>
              </w:rPr>
              <w:t xml:space="preserve"> the planned</w:t>
            </w:r>
            <w:r w:rsidR="002719C0">
              <w:rPr>
                <w:sz w:val="24"/>
                <w:szCs w:val="24"/>
              </w:rPr>
              <w:t xml:space="preserve"> reduction </w:t>
            </w:r>
            <w:r w:rsidR="00862408">
              <w:rPr>
                <w:sz w:val="24"/>
                <w:szCs w:val="24"/>
              </w:rPr>
              <w:t xml:space="preserve">in </w:t>
            </w:r>
            <w:r w:rsidR="00FD317A" w:rsidRPr="002658D7">
              <w:rPr>
                <w:sz w:val="24"/>
                <w:szCs w:val="24"/>
              </w:rPr>
              <w:t xml:space="preserve">Scope 1 and 2 emissions </w:t>
            </w:r>
            <w:r>
              <w:rPr>
                <w:sz w:val="24"/>
                <w:szCs w:val="24"/>
              </w:rPr>
              <w:t xml:space="preserve">would </w:t>
            </w:r>
            <w:r w:rsidR="00862408">
              <w:rPr>
                <w:sz w:val="24"/>
                <w:szCs w:val="24"/>
              </w:rPr>
              <w:t>decelerate</w:t>
            </w:r>
            <w:r>
              <w:rPr>
                <w:sz w:val="24"/>
                <w:szCs w:val="24"/>
              </w:rPr>
              <w:t xml:space="preserve">, </w:t>
            </w:r>
            <w:r w:rsidR="00862408">
              <w:rPr>
                <w:sz w:val="24"/>
                <w:szCs w:val="24"/>
              </w:rPr>
              <w:t xml:space="preserve">however, </w:t>
            </w:r>
            <w:r>
              <w:rPr>
                <w:sz w:val="24"/>
                <w:szCs w:val="24"/>
              </w:rPr>
              <w:t xml:space="preserve">a </w:t>
            </w:r>
            <w:r w:rsidR="00862408">
              <w:rPr>
                <w:sz w:val="24"/>
                <w:szCs w:val="24"/>
              </w:rPr>
              <w:t xml:space="preserve">wide </w:t>
            </w:r>
            <w:r w:rsidR="00FD317A" w:rsidRPr="002658D7">
              <w:rPr>
                <w:sz w:val="24"/>
                <w:szCs w:val="24"/>
              </w:rPr>
              <w:t xml:space="preserve">range of actions </w:t>
            </w:r>
            <w:r>
              <w:rPr>
                <w:sz w:val="24"/>
                <w:szCs w:val="24"/>
              </w:rPr>
              <w:t xml:space="preserve">were </w:t>
            </w:r>
            <w:r w:rsidR="00862408">
              <w:rPr>
                <w:sz w:val="24"/>
                <w:szCs w:val="24"/>
              </w:rPr>
              <w:t>being implemented</w:t>
            </w:r>
            <w:r w:rsidR="00FD317A" w:rsidRPr="002658D7">
              <w:rPr>
                <w:sz w:val="24"/>
                <w:szCs w:val="24"/>
              </w:rPr>
              <w:t xml:space="preserve"> across the </w:t>
            </w:r>
            <w:r>
              <w:rPr>
                <w:sz w:val="24"/>
                <w:szCs w:val="24"/>
              </w:rPr>
              <w:t xml:space="preserve">University. </w:t>
            </w:r>
            <w:r w:rsidR="00862408">
              <w:rPr>
                <w:sz w:val="24"/>
                <w:szCs w:val="24"/>
              </w:rPr>
              <w:t xml:space="preserve">Whilst it was likely that the </w:t>
            </w:r>
            <w:r>
              <w:rPr>
                <w:sz w:val="24"/>
                <w:szCs w:val="24"/>
              </w:rPr>
              <w:t>University’s c</w:t>
            </w:r>
            <w:r w:rsidR="00FD317A" w:rsidRPr="002658D7">
              <w:rPr>
                <w:sz w:val="24"/>
                <w:szCs w:val="24"/>
              </w:rPr>
              <w:t xml:space="preserve">ommitment to net zero by 2030 </w:t>
            </w:r>
            <w:r w:rsidR="00862408">
              <w:rPr>
                <w:sz w:val="24"/>
                <w:szCs w:val="24"/>
              </w:rPr>
              <w:t>would</w:t>
            </w:r>
            <w:r w:rsidR="00FD317A" w:rsidRPr="002658D7">
              <w:rPr>
                <w:sz w:val="24"/>
                <w:szCs w:val="24"/>
              </w:rPr>
              <w:t xml:space="preserve"> need to be reassessed</w:t>
            </w:r>
            <w:r>
              <w:rPr>
                <w:sz w:val="24"/>
                <w:szCs w:val="24"/>
              </w:rPr>
              <w:t>,</w:t>
            </w:r>
            <w:r w:rsidR="002E7F20">
              <w:rPr>
                <w:sz w:val="24"/>
                <w:szCs w:val="24"/>
              </w:rPr>
              <w:t xml:space="preserve"> it was important to reiterate</w:t>
            </w:r>
            <w:r>
              <w:rPr>
                <w:sz w:val="24"/>
                <w:szCs w:val="24"/>
              </w:rPr>
              <w:t xml:space="preserve"> the Executive</w:t>
            </w:r>
            <w:r w:rsidR="002E7F20">
              <w:rPr>
                <w:sz w:val="24"/>
                <w:szCs w:val="24"/>
              </w:rPr>
              <w:t xml:space="preserve">’s </w:t>
            </w:r>
            <w:r>
              <w:rPr>
                <w:sz w:val="24"/>
                <w:szCs w:val="24"/>
              </w:rPr>
              <w:t>commitment to the climate agenda</w:t>
            </w:r>
            <w:r w:rsidR="00862408">
              <w:rPr>
                <w:sz w:val="24"/>
                <w:szCs w:val="24"/>
              </w:rPr>
              <w:t xml:space="preserve"> and</w:t>
            </w:r>
            <w:r w:rsidR="00FD317A" w:rsidRPr="002658D7">
              <w:rPr>
                <w:sz w:val="24"/>
                <w:szCs w:val="24"/>
              </w:rPr>
              <w:t xml:space="preserve"> </w:t>
            </w:r>
            <w:r w:rsidR="00862408">
              <w:rPr>
                <w:sz w:val="24"/>
                <w:szCs w:val="24"/>
              </w:rPr>
              <w:t>communications about the scale of positive activity in this area were key.</w:t>
            </w:r>
          </w:p>
          <w:p w14:paraId="18D8AAF2" w14:textId="3426DA8B" w:rsidR="00FD317A" w:rsidRPr="00BC7B8E" w:rsidRDefault="00C41FF4" w:rsidP="00BC7B8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opportunity to benefit from members’ support was highlighted</w:t>
            </w:r>
            <w:r w:rsidR="00BC7B8E">
              <w:rPr>
                <w:sz w:val="24"/>
                <w:szCs w:val="24"/>
              </w:rPr>
              <w:t>, particularly in lobbying</w:t>
            </w:r>
            <w:r w:rsidR="00862408">
              <w:rPr>
                <w:sz w:val="24"/>
                <w:szCs w:val="24"/>
              </w:rPr>
              <w:t>,</w:t>
            </w:r>
            <w:r w:rsidR="00BC7B8E">
              <w:rPr>
                <w:sz w:val="24"/>
                <w:szCs w:val="24"/>
              </w:rPr>
              <w:t xml:space="preserve"> both locally and nationally. </w:t>
            </w:r>
          </w:p>
        </w:tc>
      </w:tr>
      <w:tr w:rsidR="00053161" w:rsidRPr="008A753B" w14:paraId="55492BDD" w14:textId="77777777" w:rsidTr="6D45CE17"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D96315" w14:textId="77777777" w:rsidR="00053161" w:rsidRPr="00053161" w:rsidRDefault="00053161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 xml:space="preserve"> TECHNOLOGY STRATEGY REPORT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C1C901" w14:textId="5E3ABDB0" w:rsidR="00053161" w:rsidRPr="00053161" w:rsidRDefault="00053161" w:rsidP="000E1EF4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FEC_2024_05_01_P8</w:t>
            </w:r>
          </w:p>
        </w:tc>
      </w:tr>
      <w:tr w:rsidR="0067075A" w:rsidRPr="00EE70CB" w14:paraId="006C7D06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7324AAE7" w14:textId="4C3AF5F7" w:rsidR="0067075A" w:rsidRDefault="004E172E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075A">
              <w:rPr>
                <w:sz w:val="24"/>
                <w:szCs w:val="24"/>
              </w:rPr>
              <w:t>.1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23298723" w14:textId="77777777" w:rsidR="00034F9F" w:rsidRDefault="00034F9F" w:rsidP="0067075A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FEC received an u</w:t>
            </w:r>
            <w:r w:rsidR="00F86D8B">
              <w:rPr>
                <w:color w:val="000000" w:themeColor="text1"/>
                <w:sz w:val="24"/>
                <w:szCs w:val="24"/>
              </w:rPr>
              <w:t>pdate on digital matters, including the</w:t>
            </w:r>
            <w:r>
              <w:rPr>
                <w:color w:val="000000" w:themeColor="text1"/>
                <w:sz w:val="24"/>
                <w:szCs w:val="24"/>
              </w:rPr>
              <w:t xml:space="preserve"> development of a</w:t>
            </w:r>
            <w:r w:rsidR="00F86D8B">
              <w:rPr>
                <w:color w:val="000000" w:themeColor="text1"/>
                <w:sz w:val="24"/>
                <w:szCs w:val="24"/>
              </w:rPr>
              <w:t xml:space="preserve"> </w:t>
            </w:r>
            <w:r w:rsidR="00F86D8B" w:rsidRPr="00F86D8B">
              <w:rPr>
                <w:sz w:val="24"/>
                <w:szCs w:val="24"/>
              </w:rPr>
              <w:t xml:space="preserve">new </w:t>
            </w:r>
            <w:r>
              <w:rPr>
                <w:sz w:val="24"/>
                <w:szCs w:val="24"/>
              </w:rPr>
              <w:t xml:space="preserve">RAG-rated </w:t>
            </w:r>
            <w:r w:rsidR="00F86D8B" w:rsidRPr="00F86D8B">
              <w:rPr>
                <w:sz w:val="24"/>
                <w:szCs w:val="24"/>
              </w:rPr>
              <w:t>project tracker</w:t>
            </w:r>
            <w:r>
              <w:rPr>
                <w:color w:val="000000" w:themeColor="text1"/>
                <w:sz w:val="24"/>
                <w:szCs w:val="24"/>
              </w:rPr>
              <w:t>. Key elements included:</w:t>
            </w:r>
          </w:p>
          <w:p w14:paraId="28BB577A" w14:textId="670EA14F" w:rsidR="00680594" w:rsidRPr="00680594" w:rsidRDefault="00230E45" w:rsidP="00F725E0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3D16A7">
              <w:rPr>
                <w:color w:val="000000" w:themeColor="text1"/>
                <w:sz w:val="24"/>
                <w:szCs w:val="24"/>
              </w:rPr>
              <w:t>rogress with</w:t>
            </w:r>
            <w:r w:rsidR="00680594" w:rsidRPr="00680594">
              <w:rPr>
                <w:color w:val="000000" w:themeColor="text1"/>
                <w:sz w:val="24"/>
                <w:szCs w:val="24"/>
              </w:rPr>
              <w:t xml:space="preserve"> live projects</w:t>
            </w:r>
            <w:r>
              <w:rPr>
                <w:color w:val="000000" w:themeColor="text1"/>
                <w:sz w:val="24"/>
                <w:szCs w:val="24"/>
              </w:rPr>
              <w:t xml:space="preserve">, noting the </w:t>
            </w:r>
            <w:r w:rsidR="00862408">
              <w:rPr>
                <w:color w:val="000000" w:themeColor="text1"/>
                <w:sz w:val="24"/>
                <w:szCs w:val="24"/>
              </w:rPr>
              <w:t>prioritisation of</w:t>
            </w:r>
            <w:r w:rsidR="00680594" w:rsidRPr="006805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2408">
              <w:rPr>
                <w:color w:val="000000" w:themeColor="text1"/>
                <w:sz w:val="24"/>
                <w:szCs w:val="24"/>
              </w:rPr>
              <w:t>the</w:t>
            </w:r>
            <w:r w:rsidR="00680594" w:rsidRPr="00680594">
              <w:rPr>
                <w:color w:val="000000" w:themeColor="text1"/>
                <w:sz w:val="24"/>
                <w:szCs w:val="24"/>
              </w:rPr>
              <w:t xml:space="preserve"> Online Project </w:t>
            </w:r>
            <w:r w:rsidR="002E5F8F">
              <w:rPr>
                <w:color w:val="000000" w:themeColor="text1"/>
                <w:sz w:val="24"/>
                <w:szCs w:val="24"/>
              </w:rPr>
              <w:t xml:space="preserve">to enable delivery in </w:t>
            </w:r>
            <w:r w:rsidR="00680594" w:rsidRPr="00680594">
              <w:rPr>
                <w:color w:val="000000" w:themeColor="text1"/>
                <w:sz w:val="24"/>
                <w:szCs w:val="24"/>
              </w:rPr>
              <w:t>autumn</w:t>
            </w:r>
            <w:r w:rsidR="002E5F8F">
              <w:rPr>
                <w:color w:val="000000" w:themeColor="text1"/>
                <w:sz w:val="24"/>
                <w:szCs w:val="24"/>
              </w:rPr>
              <w:t xml:space="preserve"> 2024, the Integration Project and work </w:t>
            </w:r>
            <w:r w:rsidR="00FF627E">
              <w:rPr>
                <w:color w:val="000000" w:themeColor="text1"/>
                <w:sz w:val="24"/>
                <w:szCs w:val="24"/>
              </w:rPr>
              <w:t>to support compliance with</w:t>
            </w:r>
            <w:r w:rsidR="002E5F8F">
              <w:rPr>
                <w:color w:val="000000" w:themeColor="text1"/>
                <w:sz w:val="24"/>
                <w:szCs w:val="24"/>
              </w:rPr>
              <w:t xml:space="preserve"> </w:t>
            </w:r>
            <w:r w:rsidR="00680594" w:rsidRPr="00680594">
              <w:rPr>
                <w:color w:val="000000" w:themeColor="text1"/>
                <w:sz w:val="24"/>
                <w:szCs w:val="24"/>
              </w:rPr>
              <w:t>HESA Data Futures</w:t>
            </w:r>
            <w:r w:rsidR="00862408">
              <w:rPr>
                <w:color w:val="000000" w:themeColor="text1"/>
                <w:sz w:val="24"/>
                <w:szCs w:val="24"/>
              </w:rPr>
              <w:t>;</w:t>
            </w:r>
          </w:p>
          <w:p w14:paraId="4D193E1B" w14:textId="5A12F79C" w:rsidR="003C317A" w:rsidRPr="003C317A" w:rsidRDefault="00E67C56">
            <w:pPr>
              <w:pStyle w:val="ListParagraph"/>
              <w:numPr>
                <w:ilvl w:val="0"/>
                <w:numId w:val="22"/>
              </w:numPr>
              <w:rPr>
                <w:rFonts w:eastAsia="Calibri"/>
                <w:sz w:val="24"/>
                <w:szCs w:val="24"/>
              </w:rPr>
            </w:pPr>
            <w:r w:rsidRPr="00F725E0">
              <w:rPr>
                <w:color w:val="000000" w:themeColor="text1"/>
                <w:sz w:val="24"/>
                <w:szCs w:val="24"/>
              </w:rPr>
              <w:t>the i</w:t>
            </w:r>
            <w:r w:rsidR="00680594" w:rsidRPr="00F725E0">
              <w:rPr>
                <w:color w:val="000000" w:themeColor="text1"/>
                <w:sz w:val="24"/>
                <w:szCs w:val="24"/>
              </w:rPr>
              <w:t>nitial outline of the digital investment for 2024/25</w:t>
            </w:r>
            <w:r w:rsidR="006925A2" w:rsidRPr="00F725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25E0" w:rsidRPr="00F725E0">
              <w:rPr>
                <w:color w:val="000000" w:themeColor="text1"/>
                <w:sz w:val="24"/>
                <w:szCs w:val="24"/>
              </w:rPr>
              <w:t xml:space="preserve">(anticipating a reduced </w:t>
            </w:r>
            <w:r w:rsidR="00F725E0" w:rsidRPr="003C317A">
              <w:rPr>
                <w:color w:val="000000" w:themeColor="text1"/>
                <w:sz w:val="24"/>
                <w:szCs w:val="24"/>
              </w:rPr>
              <w:t xml:space="preserve">budget of £2m) </w:t>
            </w:r>
            <w:r w:rsidR="006925A2" w:rsidRPr="003C317A">
              <w:rPr>
                <w:color w:val="000000" w:themeColor="text1"/>
                <w:sz w:val="24"/>
                <w:szCs w:val="24"/>
              </w:rPr>
              <w:t>which would be informed</w:t>
            </w:r>
            <w:r w:rsidR="00FF627E" w:rsidRPr="003C317A">
              <w:rPr>
                <w:color w:val="000000" w:themeColor="text1"/>
                <w:sz w:val="24"/>
                <w:szCs w:val="24"/>
              </w:rPr>
              <w:t xml:space="preserve"> </w:t>
            </w:r>
            <w:r w:rsidR="00FF627E" w:rsidRPr="003C317A">
              <w:rPr>
                <w:rFonts w:eastAsiaTheme="minorEastAsia"/>
                <w:sz w:val="24"/>
                <w:szCs w:val="24"/>
              </w:rPr>
              <w:t xml:space="preserve">by the outputs of a series of workshops </w:t>
            </w:r>
            <w:r w:rsidRPr="003C317A">
              <w:rPr>
                <w:rFonts w:eastAsiaTheme="minorEastAsia"/>
                <w:sz w:val="24"/>
                <w:szCs w:val="24"/>
              </w:rPr>
              <w:t xml:space="preserve">to </w:t>
            </w:r>
            <w:r w:rsidR="00FF627E" w:rsidRPr="003C317A">
              <w:rPr>
                <w:rFonts w:ascii="Calibri" w:eastAsia="Calibri" w:hAnsi="Calibri" w:cs="Calibri"/>
                <w:sz w:val="24"/>
                <w:szCs w:val="24"/>
              </w:rPr>
              <w:t>support prioritisation</w:t>
            </w:r>
            <w:r w:rsidR="00F725E0" w:rsidRPr="003C317A">
              <w:rPr>
                <w:rFonts w:ascii="Calibri" w:eastAsia="Calibri" w:hAnsi="Calibri" w:cs="Calibri"/>
                <w:sz w:val="24"/>
                <w:szCs w:val="24"/>
              </w:rPr>
              <w:t xml:space="preserve"> o</w:t>
            </w:r>
            <w:r w:rsidR="00FF627E" w:rsidRPr="003C317A">
              <w:rPr>
                <w:rFonts w:ascii="Calibri" w:eastAsia="Calibri" w:hAnsi="Calibri" w:cs="Calibri"/>
                <w:sz w:val="24"/>
                <w:szCs w:val="24"/>
              </w:rPr>
              <w:t>f system changes</w:t>
            </w:r>
            <w:r w:rsidR="00FF627E" w:rsidRPr="003C317A">
              <w:rPr>
                <w:rFonts w:eastAsia="Calibri"/>
                <w:sz w:val="24"/>
                <w:szCs w:val="24"/>
              </w:rPr>
              <w:t xml:space="preserve"> </w:t>
            </w:r>
            <w:r w:rsidR="00FF627E" w:rsidRPr="003C317A">
              <w:rPr>
                <w:rFonts w:eastAsiaTheme="minorEastAsia"/>
                <w:sz w:val="24"/>
                <w:szCs w:val="24"/>
              </w:rPr>
              <w:t xml:space="preserve">and </w:t>
            </w:r>
            <w:r w:rsidR="00F725E0" w:rsidRPr="003C317A">
              <w:rPr>
                <w:rFonts w:eastAsiaTheme="minorEastAsia"/>
                <w:sz w:val="24"/>
                <w:szCs w:val="24"/>
              </w:rPr>
              <w:t xml:space="preserve">a review of the </w:t>
            </w:r>
            <w:r w:rsidR="00FF627E" w:rsidRPr="003C317A">
              <w:rPr>
                <w:rFonts w:eastAsiaTheme="minorEastAsia"/>
                <w:sz w:val="24"/>
                <w:szCs w:val="24"/>
              </w:rPr>
              <w:t>project pipeline</w:t>
            </w:r>
            <w:r w:rsidRPr="003C317A">
              <w:rPr>
                <w:rFonts w:eastAsiaTheme="minorEastAsia"/>
                <w:sz w:val="24"/>
                <w:szCs w:val="24"/>
              </w:rPr>
              <w:t>.</w:t>
            </w:r>
            <w:r w:rsidR="00680594" w:rsidRPr="003C317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C317A">
              <w:rPr>
                <w:color w:val="000000" w:themeColor="text1"/>
                <w:sz w:val="24"/>
                <w:szCs w:val="24"/>
              </w:rPr>
              <w:t>The work plan would in some part be dependent on the</w:t>
            </w:r>
            <w:r w:rsidR="00680594" w:rsidRPr="003C317A">
              <w:rPr>
                <w:color w:val="000000" w:themeColor="text1"/>
                <w:sz w:val="24"/>
                <w:szCs w:val="24"/>
              </w:rPr>
              <w:t xml:space="preserve"> outcome of the P</w:t>
            </w:r>
            <w:r w:rsidR="003B7A84">
              <w:rPr>
                <w:color w:val="000000" w:themeColor="text1"/>
                <w:sz w:val="24"/>
                <w:szCs w:val="24"/>
              </w:rPr>
              <w:t xml:space="preserve">rofessional </w:t>
            </w:r>
            <w:r w:rsidR="00680594" w:rsidRPr="003C317A">
              <w:rPr>
                <w:color w:val="000000" w:themeColor="text1"/>
                <w:sz w:val="24"/>
                <w:szCs w:val="24"/>
              </w:rPr>
              <w:t>S</w:t>
            </w:r>
            <w:r w:rsidR="003B7A84">
              <w:rPr>
                <w:color w:val="000000" w:themeColor="text1"/>
                <w:sz w:val="24"/>
                <w:szCs w:val="24"/>
              </w:rPr>
              <w:t>ervices</w:t>
            </w:r>
            <w:r w:rsidR="00680594" w:rsidRPr="003C317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C317A">
              <w:rPr>
                <w:color w:val="000000" w:themeColor="text1"/>
                <w:sz w:val="24"/>
                <w:szCs w:val="24"/>
              </w:rPr>
              <w:t xml:space="preserve">workforce </w:t>
            </w:r>
            <w:r w:rsidR="00680594" w:rsidRPr="003C317A">
              <w:rPr>
                <w:color w:val="000000" w:themeColor="text1"/>
                <w:sz w:val="24"/>
                <w:szCs w:val="24"/>
              </w:rPr>
              <w:t>review</w:t>
            </w:r>
            <w:r w:rsidR="003C317A" w:rsidRPr="003C317A">
              <w:rPr>
                <w:color w:val="000000" w:themeColor="text1"/>
                <w:sz w:val="24"/>
                <w:szCs w:val="24"/>
              </w:rPr>
              <w:t xml:space="preserve"> and would be presented to FEC in June as part of the budget discussions.</w:t>
            </w:r>
          </w:p>
          <w:p w14:paraId="60CA572B" w14:textId="33E3E963" w:rsidR="00F725E0" w:rsidRPr="003C317A" w:rsidRDefault="003C317A">
            <w:pPr>
              <w:pStyle w:val="ListParagraph"/>
              <w:numPr>
                <w:ilvl w:val="0"/>
                <w:numId w:val="22"/>
              </w:numPr>
              <w:rPr>
                <w:rFonts w:eastAsia="Calibri"/>
                <w:sz w:val="24"/>
                <w:szCs w:val="24"/>
              </w:rPr>
            </w:pPr>
            <w:r w:rsidRPr="003C317A">
              <w:rPr>
                <w:color w:val="000000" w:themeColor="text1"/>
                <w:sz w:val="24"/>
                <w:szCs w:val="24"/>
              </w:rPr>
              <w:t>work to</w:t>
            </w:r>
            <w:r w:rsidR="00F725E0" w:rsidRPr="003C317A">
              <w:rPr>
                <w:rFonts w:eastAsia="Calibri"/>
                <w:sz w:val="24"/>
                <w:szCs w:val="24"/>
              </w:rPr>
              <w:t xml:space="preserve"> identify areas where significant efficiencies</w:t>
            </w:r>
            <w:r w:rsidR="00862408">
              <w:rPr>
                <w:rFonts w:eastAsia="Calibri"/>
                <w:sz w:val="24"/>
                <w:szCs w:val="24"/>
              </w:rPr>
              <w:t xml:space="preserve"> or improvements to user experience</w:t>
            </w:r>
            <w:r w:rsidR="00F725E0" w:rsidRPr="003C317A">
              <w:rPr>
                <w:rFonts w:eastAsia="Calibri"/>
                <w:sz w:val="24"/>
                <w:szCs w:val="24"/>
              </w:rPr>
              <w:t xml:space="preserve"> could be realised </w:t>
            </w:r>
            <w:r w:rsidRPr="003C317A">
              <w:rPr>
                <w:rFonts w:eastAsia="Calibri"/>
                <w:sz w:val="24"/>
                <w:szCs w:val="24"/>
              </w:rPr>
              <w:t>in the short term</w:t>
            </w:r>
            <w:r w:rsidR="00F725E0" w:rsidRPr="003C317A">
              <w:rPr>
                <w:rFonts w:eastAsia="Calibri"/>
                <w:sz w:val="24"/>
                <w:szCs w:val="24"/>
              </w:rPr>
              <w:t xml:space="preserve"> as a part of an ‘invest to save’ approac</w:t>
            </w:r>
            <w:r w:rsidRPr="003C317A">
              <w:rPr>
                <w:rFonts w:eastAsia="Calibri"/>
                <w:sz w:val="24"/>
                <w:szCs w:val="24"/>
              </w:rPr>
              <w:t>h;</w:t>
            </w:r>
            <w:r w:rsidR="000B1FE0">
              <w:rPr>
                <w:rFonts w:eastAsia="Calibri"/>
                <w:sz w:val="24"/>
                <w:szCs w:val="24"/>
              </w:rPr>
              <w:t xml:space="preserve"> and</w:t>
            </w:r>
          </w:p>
          <w:p w14:paraId="220DA480" w14:textId="0AAB0711" w:rsidR="00F94643" w:rsidRPr="00F94643" w:rsidRDefault="003C317A" w:rsidP="0022587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</w:t>
            </w:r>
            <w:r w:rsidR="00680594">
              <w:rPr>
                <w:color w:val="000000" w:themeColor="text1"/>
                <w:sz w:val="24"/>
                <w:szCs w:val="24"/>
              </w:rPr>
              <w:t xml:space="preserve"> approach </w:t>
            </w:r>
            <w:r w:rsidR="003B7A84">
              <w:rPr>
                <w:color w:val="000000" w:themeColor="text1"/>
                <w:sz w:val="24"/>
                <w:szCs w:val="24"/>
              </w:rPr>
              <w:t>of learning from</w:t>
            </w:r>
            <w:r w:rsidR="006805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7A84">
              <w:rPr>
                <w:color w:val="000000" w:themeColor="text1"/>
                <w:sz w:val="24"/>
                <w:szCs w:val="24"/>
              </w:rPr>
              <w:t>‘</w:t>
            </w:r>
            <w:r w:rsidR="00680594">
              <w:rPr>
                <w:color w:val="000000" w:themeColor="text1"/>
                <w:sz w:val="24"/>
                <w:szCs w:val="24"/>
              </w:rPr>
              <w:t>proof of concept</w:t>
            </w:r>
            <w:r w:rsidR="003B7A84">
              <w:rPr>
                <w:color w:val="000000" w:themeColor="text1"/>
                <w:sz w:val="24"/>
                <w:szCs w:val="24"/>
              </w:rPr>
              <w:t>’</w:t>
            </w:r>
            <w:r w:rsidR="00680594">
              <w:rPr>
                <w:color w:val="000000" w:themeColor="text1"/>
                <w:sz w:val="24"/>
                <w:szCs w:val="24"/>
              </w:rPr>
              <w:t xml:space="preserve"> interventions</w:t>
            </w:r>
            <w:r w:rsidR="003B7A84">
              <w:rPr>
                <w:color w:val="000000" w:themeColor="text1"/>
                <w:sz w:val="24"/>
                <w:szCs w:val="24"/>
              </w:rPr>
              <w:t xml:space="preserve"> (for example, the use of chatbots),</w:t>
            </w:r>
            <w:r w:rsidR="0075107E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7A84">
              <w:rPr>
                <w:color w:val="000000" w:themeColor="text1"/>
                <w:sz w:val="24"/>
                <w:szCs w:val="24"/>
              </w:rPr>
              <w:t xml:space="preserve">which could be scaled up to create efficiencies, </w:t>
            </w:r>
            <w:r w:rsidR="0075107E">
              <w:rPr>
                <w:color w:val="000000" w:themeColor="text1"/>
                <w:sz w:val="24"/>
                <w:szCs w:val="24"/>
              </w:rPr>
              <w:t>as a means of guiding</w:t>
            </w:r>
            <w:r w:rsidR="006805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107E">
              <w:rPr>
                <w:color w:val="000000" w:themeColor="text1"/>
                <w:sz w:val="24"/>
                <w:szCs w:val="24"/>
              </w:rPr>
              <w:t xml:space="preserve">decision-making in </w:t>
            </w:r>
            <w:r w:rsidR="003B7A84">
              <w:rPr>
                <w:color w:val="000000" w:themeColor="text1"/>
                <w:sz w:val="24"/>
                <w:szCs w:val="24"/>
              </w:rPr>
              <w:t>the context of</w:t>
            </w:r>
            <w:r w:rsidR="0075107E">
              <w:rPr>
                <w:color w:val="000000" w:themeColor="text1"/>
                <w:sz w:val="24"/>
                <w:szCs w:val="24"/>
              </w:rPr>
              <w:t xml:space="preserve"> changing technology</w:t>
            </w:r>
            <w:r w:rsidR="003B7A84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67075A" w:rsidRPr="00EE70CB" w14:paraId="3F8A5802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5D04FD56" w14:textId="61821F11" w:rsidR="0067075A" w:rsidRDefault="004E172E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075A">
              <w:rPr>
                <w:sz w:val="24"/>
                <w:szCs w:val="24"/>
              </w:rPr>
              <w:t>.2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7CCAF1C2" w14:textId="001D53B6" w:rsidR="00DC4384" w:rsidRDefault="000B1FE0" w:rsidP="000B1FE0">
            <w:pPr>
              <w:spacing w:before="60" w:after="60"/>
              <w:rPr>
                <w:sz w:val="24"/>
                <w:szCs w:val="24"/>
              </w:rPr>
            </w:pPr>
            <w:r w:rsidRPr="000B1FE0">
              <w:rPr>
                <w:color w:val="000000" w:themeColor="text1"/>
                <w:sz w:val="24"/>
                <w:szCs w:val="24"/>
              </w:rPr>
              <w:t xml:space="preserve">Members queried the </w:t>
            </w:r>
            <w:r w:rsidR="00053161">
              <w:rPr>
                <w:color w:val="000000" w:themeColor="text1"/>
                <w:sz w:val="24"/>
                <w:szCs w:val="24"/>
              </w:rPr>
              <w:t xml:space="preserve">potential </w:t>
            </w:r>
            <w:r w:rsidRPr="000B1FE0">
              <w:rPr>
                <w:color w:val="000000" w:themeColor="text1"/>
                <w:sz w:val="24"/>
                <w:szCs w:val="24"/>
              </w:rPr>
              <w:t xml:space="preserve">trade-off between </w:t>
            </w:r>
            <w:r w:rsidRPr="000B1FE0">
              <w:rPr>
                <w:sz w:val="24"/>
                <w:szCs w:val="24"/>
              </w:rPr>
              <w:t>efficiency savings and human resource</w:t>
            </w:r>
            <w:r w:rsidR="003B7A84">
              <w:rPr>
                <w:sz w:val="24"/>
                <w:szCs w:val="24"/>
              </w:rPr>
              <w:t>. T</w:t>
            </w:r>
            <w:r w:rsidRPr="000B1FE0">
              <w:rPr>
                <w:sz w:val="24"/>
                <w:szCs w:val="24"/>
              </w:rPr>
              <w:t xml:space="preserve">he Interim COO </w:t>
            </w:r>
            <w:r w:rsidR="003B7A84">
              <w:rPr>
                <w:sz w:val="24"/>
                <w:szCs w:val="24"/>
              </w:rPr>
              <w:t>reported</w:t>
            </w:r>
            <w:r w:rsidRPr="000B1FE0">
              <w:rPr>
                <w:sz w:val="24"/>
                <w:szCs w:val="24"/>
              </w:rPr>
              <w:t xml:space="preserve"> that a dedicated continuous improvement team with extensive knowledge of process</w:t>
            </w:r>
            <w:r w:rsidR="007D32F8">
              <w:rPr>
                <w:sz w:val="24"/>
                <w:szCs w:val="24"/>
              </w:rPr>
              <w:t xml:space="preserve">es </w:t>
            </w:r>
            <w:r w:rsidR="007D32F8" w:rsidRPr="00E32A91">
              <w:rPr>
                <w:sz w:val="24"/>
                <w:szCs w:val="24"/>
              </w:rPr>
              <w:t>within the university</w:t>
            </w:r>
            <w:r w:rsidRPr="00E32A91">
              <w:rPr>
                <w:sz w:val="24"/>
                <w:szCs w:val="24"/>
              </w:rPr>
              <w:t xml:space="preserve"> </w:t>
            </w:r>
            <w:r w:rsidR="003B7A84">
              <w:rPr>
                <w:sz w:val="24"/>
                <w:szCs w:val="24"/>
              </w:rPr>
              <w:t>was in place</w:t>
            </w:r>
            <w:r w:rsidR="00053161">
              <w:rPr>
                <w:sz w:val="24"/>
                <w:szCs w:val="24"/>
              </w:rPr>
              <w:t>, noting that i</w:t>
            </w:r>
            <w:r w:rsidRPr="000B1FE0">
              <w:rPr>
                <w:sz w:val="24"/>
                <w:szCs w:val="24"/>
              </w:rPr>
              <w:t xml:space="preserve">t was important to </w:t>
            </w:r>
            <w:r w:rsidR="00053161">
              <w:rPr>
                <w:sz w:val="24"/>
                <w:szCs w:val="24"/>
              </w:rPr>
              <w:t xml:space="preserve">advise </w:t>
            </w:r>
            <w:r w:rsidRPr="000B1FE0">
              <w:rPr>
                <w:sz w:val="24"/>
                <w:szCs w:val="24"/>
              </w:rPr>
              <w:t>colleagues how interventions would make their working lives easier</w:t>
            </w:r>
            <w:r w:rsidR="003B7A84">
              <w:rPr>
                <w:sz w:val="24"/>
                <w:szCs w:val="24"/>
              </w:rPr>
              <w:t xml:space="preserve">, </w:t>
            </w:r>
            <w:r w:rsidR="00053161">
              <w:rPr>
                <w:sz w:val="24"/>
                <w:szCs w:val="24"/>
              </w:rPr>
              <w:t>particularly</w:t>
            </w:r>
            <w:r w:rsidR="003B7A84">
              <w:rPr>
                <w:sz w:val="24"/>
                <w:szCs w:val="24"/>
              </w:rPr>
              <w:t xml:space="preserve"> </w:t>
            </w:r>
            <w:r w:rsidR="00053161">
              <w:rPr>
                <w:sz w:val="24"/>
                <w:szCs w:val="24"/>
              </w:rPr>
              <w:t>where</w:t>
            </w:r>
            <w:r w:rsidR="003B7A84">
              <w:rPr>
                <w:sz w:val="24"/>
                <w:szCs w:val="24"/>
              </w:rPr>
              <w:t xml:space="preserve"> backlog/bottlenecks</w:t>
            </w:r>
            <w:r w:rsidR="00053161">
              <w:rPr>
                <w:sz w:val="24"/>
                <w:szCs w:val="24"/>
              </w:rPr>
              <w:t xml:space="preserve"> existed</w:t>
            </w:r>
            <w:r w:rsidRPr="000B1FE0">
              <w:rPr>
                <w:sz w:val="24"/>
                <w:szCs w:val="24"/>
              </w:rPr>
              <w:t xml:space="preserve">. </w:t>
            </w:r>
          </w:p>
          <w:p w14:paraId="7191497F" w14:textId="4B28FD4F" w:rsidR="000B1FE0" w:rsidRPr="000B1FE0" w:rsidRDefault="00DC4384" w:rsidP="000B1FE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debated how the Committee could contribute to the digital</w:t>
            </w:r>
            <w:r w:rsidR="003B7A84">
              <w:rPr>
                <w:sz w:val="24"/>
                <w:szCs w:val="24"/>
              </w:rPr>
              <w:t xml:space="preserve"> element of its remit</w:t>
            </w:r>
            <w:r>
              <w:rPr>
                <w:sz w:val="24"/>
                <w:szCs w:val="24"/>
              </w:rPr>
              <w:t xml:space="preserve">, recognising the importance of staying </w:t>
            </w:r>
            <w:r w:rsidR="000B1FE0" w:rsidRPr="000B1FE0">
              <w:rPr>
                <w:sz w:val="24"/>
                <w:szCs w:val="24"/>
              </w:rPr>
              <w:t>abreast of tech</w:t>
            </w:r>
            <w:r>
              <w:rPr>
                <w:sz w:val="24"/>
                <w:szCs w:val="24"/>
              </w:rPr>
              <w:t>nological</w:t>
            </w:r>
            <w:r w:rsidR="000B1FE0" w:rsidRPr="000B1FE0">
              <w:rPr>
                <w:sz w:val="24"/>
                <w:szCs w:val="24"/>
              </w:rPr>
              <w:t xml:space="preserve"> </w:t>
            </w:r>
            <w:r w:rsidR="00053161">
              <w:rPr>
                <w:sz w:val="24"/>
                <w:szCs w:val="24"/>
              </w:rPr>
              <w:t>developments</w:t>
            </w:r>
            <w:r w:rsidR="000B1FE0" w:rsidRPr="000B1FE0">
              <w:rPr>
                <w:sz w:val="24"/>
                <w:szCs w:val="24"/>
              </w:rPr>
              <w:t xml:space="preserve"> </w:t>
            </w:r>
            <w:r w:rsidR="003B7A84">
              <w:rPr>
                <w:sz w:val="24"/>
                <w:szCs w:val="24"/>
              </w:rPr>
              <w:t>as a key</w:t>
            </w:r>
            <w:r>
              <w:rPr>
                <w:sz w:val="24"/>
                <w:szCs w:val="24"/>
              </w:rPr>
              <w:t xml:space="preserve"> University resource.</w:t>
            </w:r>
            <w:r w:rsidR="000B1FE0" w:rsidRPr="000B1FE0">
              <w:rPr>
                <w:sz w:val="24"/>
                <w:szCs w:val="24"/>
              </w:rPr>
              <w:t xml:space="preserve"> </w:t>
            </w:r>
          </w:p>
          <w:p w14:paraId="2377A1E3" w14:textId="0132DABE" w:rsidR="00DC4384" w:rsidRPr="00FF546F" w:rsidRDefault="000B1FE0" w:rsidP="000B1FE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FF546F">
              <w:rPr>
                <w:b/>
                <w:bCs/>
                <w:sz w:val="24"/>
                <w:szCs w:val="24"/>
              </w:rPr>
              <w:t xml:space="preserve">Action: </w:t>
            </w:r>
            <w:r w:rsidR="00DC4384">
              <w:rPr>
                <w:b/>
                <w:bCs/>
                <w:sz w:val="24"/>
                <w:szCs w:val="24"/>
              </w:rPr>
              <w:t xml:space="preserve">The Committee Chair and Chair of the Board </w:t>
            </w:r>
            <w:r w:rsidR="003B7A84">
              <w:rPr>
                <w:b/>
                <w:bCs/>
                <w:sz w:val="24"/>
                <w:szCs w:val="24"/>
              </w:rPr>
              <w:t>to</w:t>
            </w:r>
            <w:r w:rsidR="00DC4384">
              <w:rPr>
                <w:b/>
                <w:bCs/>
                <w:sz w:val="24"/>
                <w:szCs w:val="24"/>
              </w:rPr>
              <w:t xml:space="preserve"> </w:t>
            </w:r>
            <w:r w:rsidR="003B7A84">
              <w:rPr>
                <w:b/>
                <w:bCs/>
                <w:sz w:val="24"/>
                <w:szCs w:val="24"/>
              </w:rPr>
              <w:t xml:space="preserve">further </w:t>
            </w:r>
            <w:r w:rsidR="00DC4384">
              <w:rPr>
                <w:b/>
                <w:bCs/>
                <w:sz w:val="24"/>
                <w:szCs w:val="24"/>
              </w:rPr>
              <w:t xml:space="preserve">discuss </w:t>
            </w:r>
            <w:r w:rsidR="003B7A84">
              <w:rPr>
                <w:b/>
                <w:bCs/>
                <w:sz w:val="24"/>
                <w:szCs w:val="24"/>
              </w:rPr>
              <w:t>the Committee’s contribution to digital</w:t>
            </w:r>
            <w:r w:rsidR="00DC4384">
              <w:rPr>
                <w:b/>
                <w:bCs/>
                <w:sz w:val="24"/>
                <w:szCs w:val="24"/>
              </w:rPr>
              <w:t xml:space="preserve"> </w:t>
            </w:r>
            <w:r w:rsidRPr="00EE4815">
              <w:rPr>
                <w:b/>
                <w:bCs/>
                <w:sz w:val="24"/>
                <w:szCs w:val="24"/>
              </w:rPr>
              <w:t xml:space="preserve">outside </w:t>
            </w:r>
            <w:r w:rsidR="00DC4384">
              <w:rPr>
                <w:b/>
                <w:bCs/>
                <w:sz w:val="24"/>
                <w:szCs w:val="24"/>
              </w:rPr>
              <w:t xml:space="preserve">of </w:t>
            </w:r>
            <w:r w:rsidRPr="00EE4815">
              <w:rPr>
                <w:b/>
                <w:bCs/>
                <w:sz w:val="24"/>
                <w:szCs w:val="24"/>
              </w:rPr>
              <w:t>the meeting</w:t>
            </w:r>
            <w:r w:rsidR="00DC4384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53161" w:rsidRPr="008A753B" w14:paraId="75DE483B" w14:textId="77777777" w:rsidTr="6D45CE17"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9F5672" w14:textId="77777777" w:rsidR="00053161" w:rsidRPr="00053161" w:rsidRDefault="00053161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bookmarkStart w:id="5" w:name="_Hlk114509277"/>
            <w:r w:rsidRPr="00053161">
              <w:rPr>
                <w:b/>
                <w:sz w:val="24"/>
              </w:rPr>
              <w:t>TREASURY MANAGEMENT POLICY (TMP)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347E4E" w14:textId="0B1BE60F" w:rsidR="00053161" w:rsidRPr="00053161" w:rsidRDefault="00053161" w:rsidP="000E1EF4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FEC_2024_05_01_P9</w:t>
            </w:r>
          </w:p>
        </w:tc>
      </w:tr>
      <w:tr w:rsidR="004E172E" w:rsidRPr="008A753B" w14:paraId="25A5BF10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6B85EDBA" w14:textId="1071B692" w:rsidR="004E172E" w:rsidRDefault="004E172E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559D9D62" w14:textId="41EE85CE" w:rsidR="004E172E" w:rsidRDefault="00F86D8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CFO presented the key revisions to the TMP, including:</w:t>
            </w:r>
          </w:p>
          <w:p w14:paraId="1AABAA1F" w14:textId="6148353C" w:rsidR="00F86D8B" w:rsidRPr="00F86D8B" w:rsidRDefault="00F86D8B" w:rsidP="003B7A84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rPr>
                <w:sz w:val="24"/>
                <w:szCs w:val="24"/>
              </w:rPr>
            </w:pPr>
            <w:r w:rsidRPr="00F86D8B">
              <w:rPr>
                <w:sz w:val="24"/>
                <w:szCs w:val="24"/>
              </w:rPr>
              <w:t>an increase the minimum liquid cash balance to £55m</w:t>
            </w:r>
            <w:r w:rsidR="00722B8A">
              <w:rPr>
                <w:sz w:val="24"/>
                <w:szCs w:val="24"/>
              </w:rPr>
              <w:t>;</w:t>
            </w:r>
          </w:p>
          <w:p w14:paraId="46AA21DB" w14:textId="0FA87BB7" w:rsidR="00F86D8B" w:rsidRPr="00F86D8B" w:rsidRDefault="00F86D8B" w:rsidP="003B7A84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rPr>
                <w:sz w:val="24"/>
                <w:szCs w:val="24"/>
              </w:rPr>
            </w:pPr>
            <w:r w:rsidRPr="00F86D8B">
              <w:rPr>
                <w:sz w:val="24"/>
                <w:szCs w:val="24"/>
              </w:rPr>
              <w:t>removal of the temporary increase to £40m for certain counterparty limits when the overall cash balance is &gt;£180m</w:t>
            </w:r>
            <w:r w:rsidR="00722B8A">
              <w:rPr>
                <w:sz w:val="24"/>
                <w:szCs w:val="24"/>
              </w:rPr>
              <w:t>;</w:t>
            </w:r>
          </w:p>
          <w:p w14:paraId="07E1AA0D" w14:textId="0909F28C" w:rsidR="00F86D8B" w:rsidRPr="00F86D8B" w:rsidRDefault="00133596" w:rsidP="003B7A84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inclusion</w:t>
            </w:r>
            <w:r w:rsidR="00F86D8B" w:rsidRPr="00F86D8B">
              <w:rPr>
                <w:sz w:val="24"/>
                <w:szCs w:val="24"/>
              </w:rPr>
              <w:t xml:space="preserve"> of Reference Environmental, Social and Governance (ESG) considerations; and</w:t>
            </w:r>
          </w:p>
          <w:p w14:paraId="0BFDE0CD" w14:textId="7E5E84DC" w:rsidR="00F94643" w:rsidRPr="00F94643" w:rsidRDefault="00F86D8B" w:rsidP="003B7A84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rPr>
                <w:sz w:val="24"/>
                <w:szCs w:val="24"/>
              </w:rPr>
            </w:pPr>
            <w:r w:rsidRPr="00F86D8B">
              <w:rPr>
                <w:sz w:val="24"/>
                <w:szCs w:val="24"/>
              </w:rPr>
              <w:lastRenderedPageBreak/>
              <w:t>a reduction in the frequency of reporting on the performance of the treasury management function to annually.</w:t>
            </w:r>
            <w:r w:rsidR="00AE7F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587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86D8B" w:rsidRPr="008A753B" w14:paraId="4CFBA563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0C606390" w14:textId="255CCC37" w:rsidR="00F86D8B" w:rsidRDefault="00F86D8B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9.2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68D84C7F" w14:textId="0B4B89F1" w:rsidR="00F86D8B" w:rsidRDefault="00F86D8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FEC resolved to </w:t>
            </w:r>
            <w:r w:rsidRPr="00F86D8B">
              <w:rPr>
                <w:b/>
                <w:bCs/>
                <w:color w:val="000000" w:themeColor="text1"/>
                <w:sz w:val="24"/>
                <w:szCs w:val="24"/>
              </w:rPr>
              <w:t>approve</w:t>
            </w:r>
            <w:r>
              <w:rPr>
                <w:color w:val="000000" w:themeColor="text1"/>
                <w:sz w:val="24"/>
                <w:szCs w:val="24"/>
              </w:rPr>
              <w:t xml:space="preserve"> the revisions to the Policy. </w:t>
            </w:r>
          </w:p>
        </w:tc>
      </w:tr>
      <w:tr w:rsidR="00053161" w:rsidRPr="008A753B" w14:paraId="7DB4377C" w14:textId="77777777" w:rsidTr="6D45CE17">
        <w:tc>
          <w:tcPr>
            <w:tcW w:w="7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6F11E2" w14:textId="3C19B548" w:rsidR="00053161" w:rsidRPr="00053161" w:rsidRDefault="00053161" w:rsidP="000E1EF4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 xml:space="preserve">ORDERS AND CONTRACTS ABOVE THRESHOLD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0764D5" w14:textId="414C56C2" w:rsidR="00053161" w:rsidRPr="00053161" w:rsidRDefault="00053161" w:rsidP="000E1EF4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FEC_2024_05_01_P10</w:t>
            </w:r>
          </w:p>
        </w:tc>
      </w:tr>
      <w:bookmarkEnd w:id="5"/>
      <w:tr w:rsidR="00AE7FE5" w:rsidRPr="008A753B" w14:paraId="13BFA451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637CAAA7" w14:textId="498821CD" w:rsidR="00AE7FE5" w:rsidRDefault="00AE7FE5" w:rsidP="000E1EF4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40ABA401" w14:textId="61215649" w:rsidR="00F94643" w:rsidRPr="006C060D" w:rsidRDefault="00FF546F" w:rsidP="00AE7FE5">
            <w:pPr>
              <w:spacing w:before="60" w:after="60"/>
              <w:rPr>
                <w:sz w:val="24"/>
                <w:szCs w:val="24"/>
              </w:rPr>
            </w:pPr>
            <w:r w:rsidRPr="6D45CE17">
              <w:rPr>
                <w:sz w:val="24"/>
                <w:szCs w:val="24"/>
              </w:rPr>
              <w:t xml:space="preserve">The CFO reported that the design contract in relation to the </w:t>
            </w:r>
            <w:r w:rsidR="00AE7FE5" w:rsidRPr="6D45CE17">
              <w:rPr>
                <w:sz w:val="24"/>
                <w:szCs w:val="24"/>
              </w:rPr>
              <w:t xml:space="preserve">London Campus Build </w:t>
            </w:r>
            <w:r w:rsidRPr="6D45CE17">
              <w:rPr>
                <w:sz w:val="24"/>
                <w:szCs w:val="24"/>
              </w:rPr>
              <w:t>had exceeded the approved contract value and th</w:t>
            </w:r>
            <w:r w:rsidR="006019E3">
              <w:rPr>
                <w:sz w:val="24"/>
                <w:szCs w:val="24"/>
              </w:rPr>
              <w:t xml:space="preserve">e decision that </w:t>
            </w:r>
            <w:r w:rsidR="003B7A84" w:rsidRPr="6D45CE17">
              <w:rPr>
                <w:sz w:val="24"/>
                <w:szCs w:val="24"/>
              </w:rPr>
              <w:t>to proceed had been</w:t>
            </w:r>
            <w:r w:rsidR="006019E3">
              <w:rPr>
                <w:sz w:val="24"/>
                <w:szCs w:val="24"/>
              </w:rPr>
              <w:t xml:space="preserve"> agreed with the </w:t>
            </w:r>
            <w:r w:rsidRPr="6D45CE17">
              <w:rPr>
                <w:sz w:val="24"/>
                <w:szCs w:val="24"/>
              </w:rPr>
              <w:t xml:space="preserve">FEC </w:t>
            </w:r>
            <w:r w:rsidR="00AE7FE5" w:rsidRPr="6D45CE17">
              <w:rPr>
                <w:sz w:val="24"/>
                <w:szCs w:val="24"/>
              </w:rPr>
              <w:t>Chair</w:t>
            </w:r>
            <w:r w:rsidRPr="6D45CE17">
              <w:rPr>
                <w:sz w:val="24"/>
                <w:szCs w:val="24"/>
              </w:rPr>
              <w:t xml:space="preserve"> </w:t>
            </w:r>
            <w:r w:rsidR="00AE7FE5" w:rsidRPr="6D45CE17">
              <w:rPr>
                <w:sz w:val="24"/>
                <w:szCs w:val="24"/>
              </w:rPr>
              <w:t xml:space="preserve">to avoid </w:t>
            </w:r>
            <w:r w:rsidR="003B7A84" w:rsidRPr="6D45CE17">
              <w:rPr>
                <w:sz w:val="24"/>
                <w:szCs w:val="24"/>
              </w:rPr>
              <w:t>any further delay in</w:t>
            </w:r>
            <w:r w:rsidRPr="6D45CE17">
              <w:rPr>
                <w:sz w:val="24"/>
                <w:szCs w:val="24"/>
              </w:rPr>
              <w:t xml:space="preserve"> the </w:t>
            </w:r>
            <w:r w:rsidR="00AE7FE5" w:rsidRPr="6D45CE17">
              <w:rPr>
                <w:sz w:val="24"/>
                <w:szCs w:val="24"/>
              </w:rPr>
              <w:t>campus build</w:t>
            </w:r>
            <w:r w:rsidRPr="6D45CE17">
              <w:rPr>
                <w:sz w:val="24"/>
                <w:szCs w:val="24"/>
              </w:rPr>
              <w:t xml:space="preserve">. </w:t>
            </w:r>
            <w:r w:rsidR="00AE7FE5" w:rsidRPr="6D45CE17">
              <w:rPr>
                <w:sz w:val="24"/>
                <w:szCs w:val="24"/>
              </w:rPr>
              <w:t xml:space="preserve"> </w:t>
            </w:r>
          </w:p>
        </w:tc>
      </w:tr>
      <w:tr w:rsidR="006C060D" w:rsidRPr="008A753B" w14:paraId="4ADD75DF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35E6829A" w14:textId="620697FB" w:rsidR="006C060D" w:rsidRDefault="006C060D" w:rsidP="006C060D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672D2B27" w14:textId="6A087299" w:rsidR="006C060D" w:rsidRPr="6D45CE17" w:rsidRDefault="006C060D" w:rsidP="006C060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6C060D" w:rsidRPr="008A753B" w14:paraId="30B07BA3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25A49DB8" w14:textId="63DDAF1C" w:rsidR="006C060D" w:rsidRDefault="006C060D" w:rsidP="006C060D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37436CC4" w14:textId="2BB3A841" w:rsidR="006C060D" w:rsidRDefault="006C060D" w:rsidP="006C060D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FEC also</w:t>
            </w:r>
            <w:r w:rsidRPr="00F60FB1">
              <w:rPr>
                <w:color w:val="000000" w:themeColor="text1"/>
                <w:sz w:val="24"/>
                <w:szCs w:val="24"/>
              </w:rPr>
              <w:t xml:space="preserve"> note</w:t>
            </w:r>
            <w:r>
              <w:rPr>
                <w:color w:val="000000" w:themeColor="text1"/>
                <w:sz w:val="24"/>
                <w:szCs w:val="24"/>
              </w:rPr>
              <w:t>d</w:t>
            </w:r>
            <w:r w:rsidRPr="00F60FB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60FB1">
              <w:rPr>
                <w:color w:val="000000" w:themeColor="text1"/>
                <w:sz w:val="24"/>
                <w:szCs w:val="24"/>
              </w:rPr>
              <w:t>the award of contracts valued above £500k since the previous meeting.</w:t>
            </w:r>
          </w:p>
        </w:tc>
      </w:tr>
      <w:tr w:rsidR="006C060D" w:rsidRPr="008A753B" w14:paraId="440EA2C8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2700EB5E" w14:textId="04DB999D" w:rsidR="006C060D" w:rsidRDefault="006C060D" w:rsidP="006C060D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104F0F67" w14:textId="6AB8B248" w:rsidR="006C060D" w:rsidRPr="000D02D5" w:rsidRDefault="006C060D" w:rsidP="006C060D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Committee was briefed on two contracts for consideration:</w:t>
            </w:r>
            <w:r>
              <w:rPr>
                <w:sz w:val="24"/>
                <w:szCs w:val="24"/>
              </w:rPr>
              <w:t xml:space="preserve"> the proposed approach to the Microsoft core software renewal, costs of which had significantly increased</w:t>
            </w:r>
            <w:r>
              <w:rPr>
                <w:color w:val="000000" w:themeColor="text1"/>
                <w:sz w:val="24"/>
                <w:szCs w:val="24"/>
              </w:rPr>
              <w:t xml:space="preserve">, and the </w:t>
            </w:r>
            <w:r>
              <w:rPr>
                <w:sz w:val="24"/>
                <w:szCs w:val="24"/>
              </w:rPr>
              <w:t>24/7 Manned Guarding contract.</w:t>
            </w:r>
          </w:p>
        </w:tc>
      </w:tr>
      <w:tr w:rsidR="006C060D" w:rsidRPr="008A753B" w14:paraId="29BC90AA" w14:textId="77777777" w:rsidTr="6D45CE17">
        <w:tc>
          <w:tcPr>
            <w:tcW w:w="710" w:type="dxa"/>
            <w:tcBorders>
              <w:top w:val="nil"/>
              <w:bottom w:val="nil"/>
            </w:tcBorders>
          </w:tcPr>
          <w:p w14:paraId="0087ADA0" w14:textId="7FA14CB3" w:rsidR="006C060D" w:rsidRDefault="006C060D" w:rsidP="006C060D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9497" w:type="dxa"/>
            <w:gridSpan w:val="2"/>
            <w:tcBorders>
              <w:top w:val="nil"/>
              <w:bottom w:val="nil"/>
            </w:tcBorders>
          </w:tcPr>
          <w:p w14:paraId="36B590B3" w14:textId="5FD27D44" w:rsidR="006C060D" w:rsidRDefault="006C060D" w:rsidP="006C060D">
            <w:pPr>
              <w:spacing w:before="60" w:after="60"/>
              <w:rPr>
                <w:sz w:val="24"/>
                <w:szCs w:val="24"/>
              </w:rPr>
            </w:pPr>
            <w:r w:rsidRPr="00513BD7">
              <w:rPr>
                <w:b/>
                <w:bCs/>
                <w:sz w:val="24"/>
                <w:szCs w:val="24"/>
              </w:rPr>
              <w:t>Resolution:</w:t>
            </w:r>
            <w:r>
              <w:rPr>
                <w:sz w:val="24"/>
                <w:szCs w:val="24"/>
              </w:rPr>
              <w:t xml:space="preserve"> </w:t>
            </w:r>
          </w:p>
          <w:p w14:paraId="47CA92B0" w14:textId="3989957B" w:rsidR="006C060D" w:rsidRPr="00A80BAC" w:rsidRDefault="006C060D" w:rsidP="006C060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sz w:val="24"/>
                <w:szCs w:val="24"/>
              </w:rPr>
            </w:pPr>
            <w:r w:rsidRPr="0075520D">
              <w:rPr>
                <w:sz w:val="24"/>
                <w:szCs w:val="24"/>
              </w:rPr>
              <w:t>To</w:t>
            </w:r>
            <w:r>
              <w:rPr>
                <w:b/>
                <w:bCs/>
                <w:sz w:val="24"/>
                <w:szCs w:val="24"/>
              </w:rPr>
              <w:t xml:space="preserve"> a</w:t>
            </w:r>
            <w:r w:rsidRPr="00A80BAC">
              <w:rPr>
                <w:b/>
                <w:bCs/>
                <w:sz w:val="24"/>
                <w:szCs w:val="24"/>
              </w:rPr>
              <w:t>pprove</w:t>
            </w:r>
            <w:r w:rsidRPr="00A80B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Manned Guarding contract; and </w:t>
            </w:r>
          </w:p>
          <w:p w14:paraId="0E95F3F4" w14:textId="468AAAD7" w:rsidR="006C060D" w:rsidRPr="00DF21C3" w:rsidRDefault="006C060D" w:rsidP="006C060D">
            <w:pPr>
              <w:pStyle w:val="ListParagraph"/>
              <w:numPr>
                <w:ilvl w:val="0"/>
                <w:numId w:val="6"/>
              </w:numPr>
              <w:spacing w:before="60" w:after="60"/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75520D">
              <w:rPr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 recommend </w:t>
            </w:r>
            <w:r>
              <w:rPr>
                <w:sz w:val="24"/>
                <w:szCs w:val="24"/>
              </w:rPr>
              <w:t>the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492B">
              <w:rPr>
                <w:sz w:val="24"/>
                <w:szCs w:val="24"/>
              </w:rPr>
              <w:t>Microsoft core software renewal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492B">
              <w:rPr>
                <w:sz w:val="24"/>
                <w:szCs w:val="24"/>
              </w:rPr>
              <w:t>to the Board</w:t>
            </w:r>
            <w:r>
              <w:rPr>
                <w:sz w:val="24"/>
                <w:szCs w:val="24"/>
              </w:rPr>
              <w:t xml:space="preserve"> for approval. </w:t>
            </w:r>
          </w:p>
        </w:tc>
      </w:tr>
      <w:tr w:rsidR="006C060D" w:rsidRPr="008A753B" w14:paraId="56DB424D" w14:textId="77777777" w:rsidTr="6D45CE17">
        <w:tc>
          <w:tcPr>
            <w:tcW w:w="793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17949DF" w14:textId="12B3CC66" w:rsidR="006C060D" w:rsidRPr="00053161" w:rsidRDefault="006C060D" w:rsidP="006C060D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 xml:space="preserve">ANNUAL BUSINESS CYCLE 2023/24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0C6D4B7" w14:textId="16B52C8A" w:rsidR="006C060D" w:rsidRPr="00053161" w:rsidRDefault="006C060D" w:rsidP="006C060D">
            <w:pPr>
              <w:pStyle w:val="Heading3"/>
              <w:spacing w:before="60" w:after="60"/>
              <w:ind w:left="-113" w:right="-113"/>
              <w:rPr>
                <w:b/>
                <w:sz w:val="24"/>
              </w:rPr>
            </w:pPr>
            <w:r w:rsidRPr="00053161">
              <w:rPr>
                <w:b/>
                <w:sz w:val="24"/>
              </w:rPr>
              <w:t>FEC_2024_05_01_P11</w:t>
            </w:r>
          </w:p>
        </w:tc>
      </w:tr>
      <w:tr w:rsidR="006C060D" w:rsidRPr="008A753B" w14:paraId="13363982" w14:textId="77777777" w:rsidTr="6D45CE17"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348B6B4D" w14:textId="7730DBE1" w:rsidR="006C060D" w:rsidRPr="008A753B" w:rsidRDefault="006C060D" w:rsidP="006C060D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bottom w:val="nil"/>
            </w:tcBorders>
          </w:tcPr>
          <w:p w14:paraId="63A02EF4" w14:textId="06B965F8" w:rsidR="006C060D" w:rsidRPr="00467B37" w:rsidRDefault="006C060D" w:rsidP="006C060D">
            <w:pPr>
              <w:spacing w:before="60" w:after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Members noted that the reporting changes agreed at the March meeting had been incorporated into the forward cycle of business.  </w:t>
            </w:r>
          </w:p>
        </w:tc>
      </w:tr>
      <w:tr w:rsidR="006C060D" w:rsidRPr="008A753B" w14:paraId="111ED2E6" w14:textId="77777777" w:rsidTr="6D45CE17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0DA925" w14:textId="0761256E" w:rsidR="006C060D" w:rsidRPr="00627D42" w:rsidRDefault="006C060D" w:rsidP="006C060D">
            <w:pPr>
              <w:pStyle w:val="Heading3"/>
              <w:spacing w:before="60" w:after="60"/>
              <w:ind w:left="-57" w:right="-57"/>
            </w:pPr>
            <w:r w:rsidRPr="00D82BED">
              <w:rPr>
                <w:b/>
                <w:sz w:val="24"/>
              </w:rPr>
              <w:t>ANY URGENT BUSINESS</w:t>
            </w:r>
          </w:p>
        </w:tc>
      </w:tr>
      <w:tr w:rsidR="006C060D" w:rsidRPr="008A753B" w14:paraId="2AFC4A1C" w14:textId="77777777" w:rsidTr="6D45CE17">
        <w:tc>
          <w:tcPr>
            <w:tcW w:w="710" w:type="dxa"/>
            <w:tcBorders>
              <w:top w:val="single" w:sz="4" w:space="0" w:color="auto"/>
            </w:tcBorders>
          </w:tcPr>
          <w:p w14:paraId="668D8F1A" w14:textId="7BF3E198" w:rsidR="006C060D" w:rsidRPr="008A753B" w:rsidRDefault="006C060D" w:rsidP="006C060D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5FB7D892" w14:textId="7C06CFC8" w:rsidR="006C060D" w:rsidRPr="003B54EA" w:rsidRDefault="006C060D" w:rsidP="006C060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no other business.</w:t>
            </w:r>
          </w:p>
        </w:tc>
      </w:tr>
      <w:tr w:rsidR="006C060D" w:rsidRPr="008A753B" w14:paraId="7A14FCFD" w14:textId="77777777" w:rsidTr="6D45CE17"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120D2" w14:textId="2B91BB86" w:rsidR="006C060D" w:rsidRPr="00DD13B8" w:rsidRDefault="006C060D" w:rsidP="006C060D">
            <w:pPr>
              <w:pStyle w:val="Heading3"/>
              <w:spacing w:before="60" w:after="60"/>
              <w:ind w:left="-57" w:right="-57"/>
              <w:rPr>
                <w:b/>
                <w:sz w:val="24"/>
              </w:rPr>
            </w:pPr>
            <w:r w:rsidRPr="00DD13B8">
              <w:rPr>
                <w:b/>
                <w:sz w:val="24"/>
              </w:rPr>
              <w:t>DATE OF THE NEXT MEETING</w:t>
            </w:r>
          </w:p>
        </w:tc>
      </w:tr>
      <w:tr w:rsidR="006C060D" w:rsidRPr="008A753B" w14:paraId="112F0B85" w14:textId="77777777" w:rsidTr="6D45CE17">
        <w:tc>
          <w:tcPr>
            <w:tcW w:w="710" w:type="dxa"/>
            <w:tcBorders>
              <w:top w:val="single" w:sz="4" w:space="0" w:color="auto"/>
            </w:tcBorders>
          </w:tcPr>
          <w:p w14:paraId="123A7AE9" w14:textId="040882F4" w:rsidR="006C060D" w:rsidRPr="008A753B" w:rsidRDefault="006C060D" w:rsidP="006C060D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</w:tcBorders>
          </w:tcPr>
          <w:p w14:paraId="688A0001" w14:textId="183F5C01" w:rsidR="006C060D" w:rsidRPr="008A753B" w:rsidRDefault="006C060D" w:rsidP="006C060D">
            <w:pPr>
              <w:spacing w:before="60" w:after="6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Wednesday</w:t>
            </w:r>
            <w:r w:rsidRPr="00942EF8">
              <w:rPr>
                <w:color w:val="000000" w:themeColor="text1"/>
                <w:sz w:val="24"/>
                <w:szCs w:val="24"/>
              </w:rPr>
              <w:t>,</w:t>
            </w:r>
            <w:r w:rsidRPr="00942EF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 June</w:t>
            </w:r>
            <w:r w:rsidRPr="00942EF8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Pr="00942EF8">
              <w:rPr>
                <w:bCs/>
                <w:sz w:val="24"/>
                <w:szCs w:val="24"/>
              </w:rPr>
              <w:t>, 1</w:t>
            </w:r>
            <w:r>
              <w:rPr>
                <w:bCs/>
                <w:sz w:val="24"/>
                <w:szCs w:val="24"/>
              </w:rPr>
              <w:t>5</w:t>
            </w:r>
            <w:r w:rsidRPr="00942EF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Pr="00942EF8">
              <w:rPr>
                <w:bCs/>
                <w:sz w:val="24"/>
                <w:szCs w:val="24"/>
              </w:rPr>
              <w:t>0-1</w:t>
            </w:r>
            <w:r>
              <w:rPr>
                <w:bCs/>
                <w:sz w:val="24"/>
                <w:szCs w:val="24"/>
              </w:rPr>
              <w:t>8</w:t>
            </w:r>
            <w:r w:rsidRPr="00942EF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0</w:t>
            </w:r>
            <w:r w:rsidRPr="00942EF8">
              <w:rPr>
                <w:bCs/>
                <w:sz w:val="24"/>
                <w:szCs w:val="24"/>
              </w:rPr>
              <w:t xml:space="preserve">0 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ED5151">
      <w:footerReference w:type="default" r:id="rId8"/>
      <w:headerReference w:type="first" r:id="rId9"/>
      <w:footerReference w:type="first" r:id="rId10"/>
      <w:pgSz w:w="11906" w:h="16838"/>
      <w:pgMar w:top="1134" w:right="1134" w:bottom="851" w:left="1440" w:header="426" w:footer="1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FBA53" w14:textId="77777777" w:rsidR="00C26651" w:rsidRDefault="00C26651" w:rsidP="0000042C">
      <w:pPr>
        <w:spacing w:after="0" w:line="240" w:lineRule="auto"/>
      </w:pPr>
      <w:r>
        <w:separator/>
      </w:r>
    </w:p>
  </w:endnote>
  <w:endnote w:type="continuationSeparator" w:id="0">
    <w:p w14:paraId="7F3B0D65" w14:textId="77777777" w:rsidR="00C26651" w:rsidRDefault="00C26651" w:rsidP="0000042C">
      <w:pPr>
        <w:spacing w:after="0" w:line="240" w:lineRule="auto"/>
      </w:pPr>
      <w:r>
        <w:continuationSeparator/>
      </w:r>
    </w:p>
  </w:endnote>
  <w:endnote w:type="continuationNotice" w:id="1">
    <w:p w14:paraId="503C0B07" w14:textId="77777777" w:rsidR="00C26651" w:rsidRDefault="00C26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ED5151">
              <w:rPr>
                <w:sz w:val="20"/>
                <w:szCs w:val="20"/>
              </w:rPr>
              <w:t xml:space="preserve">Page </w:t>
            </w:r>
            <w:r w:rsidRPr="00ED5151">
              <w:rPr>
                <w:b/>
                <w:bCs/>
                <w:sz w:val="20"/>
                <w:szCs w:val="20"/>
              </w:rPr>
              <w:fldChar w:fldCharType="begin"/>
            </w:r>
            <w:r w:rsidRPr="00ED515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D5151">
              <w:rPr>
                <w:b/>
                <w:bCs/>
                <w:sz w:val="20"/>
                <w:szCs w:val="20"/>
              </w:rPr>
              <w:fldChar w:fldCharType="separate"/>
            </w:r>
            <w:r w:rsidRPr="00ED5151">
              <w:rPr>
                <w:b/>
                <w:bCs/>
                <w:noProof/>
                <w:sz w:val="20"/>
                <w:szCs w:val="20"/>
              </w:rPr>
              <w:t>2</w:t>
            </w:r>
            <w:r w:rsidRPr="00ED5151">
              <w:rPr>
                <w:b/>
                <w:bCs/>
                <w:sz w:val="20"/>
                <w:szCs w:val="20"/>
              </w:rPr>
              <w:fldChar w:fldCharType="end"/>
            </w:r>
            <w:r w:rsidRPr="00ED5151">
              <w:rPr>
                <w:sz w:val="20"/>
                <w:szCs w:val="20"/>
              </w:rPr>
              <w:t xml:space="preserve"> of </w:t>
            </w:r>
            <w:r w:rsidRPr="00ED5151">
              <w:rPr>
                <w:b/>
                <w:bCs/>
                <w:sz w:val="20"/>
                <w:szCs w:val="20"/>
              </w:rPr>
              <w:fldChar w:fldCharType="begin"/>
            </w:r>
            <w:r w:rsidRPr="00ED515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D5151">
              <w:rPr>
                <w:b/>
                <w:bCs/>
                <w:sz w:val="20"/>
                <w:szCs w:val="20"/>
              </w:rPr>
              <w:fldChar w:fldCharType="separate"/>
            </w:r>
            <w:r w:rsidRPr="00ED5151">
              <w:rPr>
                <w:b/>
                <w:bCs/>
                <w:noProof/>
                <w:sz w:val="20"/>
                <w:szCs w:val="20"/>
              </w:rPr>
              <w:t>2</w:t>
            </w:r>
            <w:r w:rsidRPr="00ED515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E018" w14:textId="620BE9CC" w:rsidR="0000237B" w:rsidRPr="00ED5151" w:rsidRDefault="0000237B" w:rsidP="0000237B">
    <w:pPr>
      <w:pStyle w:val="Footer"/>
      <w:jc w:val="right"/>
      <w:rPr>
        <w:color w:val="621B40"/>
        <w:sz w:val="20"/>
        <w:szCs w:val="20"/>
      </w:rPr>
    </w:pPr>
    <w:r w:rsidRPr="00ED5151">
      <w:rPr>
        <w:sz w:val="20"/>
        <w:szCs w:val="20"/>
      </w:rPr>
      <w:t xml:space="preserve">Page </w:t>
    </w:r>
    <w:r w:rsidRPr="00ED5151">
      <w:rPr>
        <w:b/>
        <w:bCs/>
        <w:sz w:val="20"/>
        <w:szCs w:val="20"/>
      </w:rPr>
      <w:fldChar w:fldCharType="begin"/>
    </w:r>
    <w:r w:rsidRPr="00ED5151">
      <w:rPr>
        <w:b/>
        <w:bCs/>
        <w:sz w:val="20"/>
        <w:szCs w:val="20"/>
      </w:rPr>
      <w:instrText xml:space="preserve"> PAGE </w:instrText>
    </w:r>
    <w:r w:rsidRPr="00ED5151">
      <w:rPr>
        <w:b/>
        <w:bCs/>
        <w:sz w:val="20"/>
        <w:szCs w:val="20"/>
      </w:rPr>
      <w:fldChar w:fldCharType="separate"/>
    </w:r>
    <w:r w:rsidRPr="00ED5151">
      <w:rPr>
        <w:b/>
        <w:bCs/>
        <w:sz w:val="20"/>
        <w:szCs w:val="20"/>
      </w:rPr>
      <w:t>2</w:t>
    </w:r>
    <w:r w:rsidRPr="00ED5151">
      <w:rPr>
        <w:b/>
        <w:bCs/>
        <w:sz w:val="20"/>
        <w:szCs w:val="20"/>
      </w:rPr>
      <w:fldChar w:fldCharType="end"/>
    </w:r>
    <w:r w:rsidRPr="00ED5151">
      <w:rPr>
        <w:sz w:val="20"/>
        <w:szCs w:val="20"/>
      </w:rPr>
      <w:t xml:space="preserve"> of </w:t>
    </w:r>
    <w:r w:rsidRPr="00ED5151">
      <w:rPr>
        <w:b/>
        <w:bCs/>
        <w:sz w:val="20"/>
        <w:szCs w:val="20"/>
      </w:rPr>
      <w:fldChar w:fldCharType="begin"/>
    </w:r>
    <w:r w:rsidRPr="00ED5151">
      <w:rPr>
        <w:b/>
        <w:bCs/>
        <w:sz w:val="20"/>
        <w:szCs w:val="20"/>
      </w:rPr>
      <w:instrText xml:space="preserve"> NUMPAGES  </w:instrText>
    </w:r>
    <w:r w:rsidRPr="00ED5151">
      <w:rPr>
        <w:b/>
        <w:bCs/>
        <w:sz w:val="20"/>
        <w:szCs w:val="20"/>
      </w:rPr>
      <w:fldChar w:fldCharType="separate"/>
    </w:r>
    <w:r w:rsidRPr="00ED5151">
      <w:rPr>
        <w:b/>
        <w:bCs/>
        <w:sz w:val="20"/>
        <w:szCs w:val="20"/>
      </w:rPr>
      <w:t>2</w:t>
    </w:r>
    <w:r w:rsidRPr="00ED5151">
      <w:rPr>
        <w:b/>
        <w:bCs/>
        <w:sz w:val="20"/>
        <w:szCs w:val="20"/>
      </w:rPr>
      <w:fldChar w:fldCharType="end"/>
    </w:r>
  </w:p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90025" w14:textId="77777777" w:rsidR="00C26651" w:rsidRDefault="00C26651" w:rsidP="0000042C">
      <w:pPr>
        <w:spacing w:after="0" w:line="240" w:lineRule="auto"/>
      </w:pPr>
      <w:r>
        <w:separator/>
      </w:r>
    </w:p>
  </w:footnote>
  <w:footnote w:type="continuationSeparator" w:id="0">
    <w:p w14:paraId="300AFDEB" w14:textId="77777777" w:rsidR="00C26651" w:rsidRDefault="00C26651" w:rsidP="0000042C">
      <w:pPr>
        <w:spacing w:after="0" w:line="240" w:lineRule="auto"/>
      </w:pPr>
      <w:r>
        <w:continuationSeparator/>
      </w:r>
    </w:p>
  </w:footnote>
  <w:footnote w:type="continuationNotice" w:id="1">
    <w:p w14:paraId="32B206DF" w14:textId="77777777" w:rsidR="00C26651" w:rsidRDefault="00C26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528"/>
      <w:gridCol w:w="2268"/>
    </w:tblGrid>
    <w:tr w:rsidR="00DB4956" w:rsidRPr="00131BC8" w14:paraId="385E976F" w14:textId="77777777" w:rsidTr="00DB4956">
      <w:tc>
        <w:tcPr>
          <w:tcW w:w="2269" w:type="dxa"/>
        </w:tcPr>
        <w:p w14:paraId="1EDD1CEB" w14:textId="421B7730" w:rsidR="00DB4956" w:rsidRPr="0000042C" w:rsidRDefault="00DB4956" w:rsidP="00DB4956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32B832DF" wp14:editId="5F8464F5">
                <wp:extent cx="894853" cy="480060"/>
                <wp:effectExtent l="0" t="0" r="635" b="0"/>
                <wp:docPr id="1437424066" name="Picture 1437424066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23AB27DC" w14:textId="34FDEE79" w:rsidR="00DB4956" w:rsidRPr="00131BC8" w:rsidRDefault="00DB4956" w:rsidP="00DB4956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FINANCE AND EMPLOYMENT COMMITTEE</w:t>
          </w:r>
        </w:p>
      </w:tc>
      <w:tc>
        <w:tcPr>
          <w:tcW w:w="2268" w:type="dxa"/>
        </w:tcPr>
        <w:p w14:paraId="7824D725" w14:textId="534CDA65" w:rsidR="00DB4956" w:rsidRPr="00131BC8" w:rsidRDefault="00DB4956" w:rsidP="00DB4956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FEC</w:t>
          </w:r>
          <w:r w:rsidR="000D02D5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202</w:t>
          </w:r>
          <w:r w:rsidR="00942EF8">
            <w:rPr>
              <w:b/>
              <w:bCs/>
              <w:sz w:val="24"/>
              <w:szCs w:val="24"/>
            </w:rPr>
            <w:t>4</w:t>
          </w:r>
          <w:r w:rsidR="000D02D5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0</w:t>
          </w:r>
          <w:r w:rsidR="007326BE">
            <w:rPr>
              <w:b/>
              <w:bCs/>
              <w:sz w:val="24"/>
              <w:szCs w:val="24"/>
            </w:rPr>
            <w:t>5</w:t>
          </w:r>
          <w:r w:rsidR="000D02D5">
            <w:rPr>
              <w:b/>
              <w:bCs/>
              <w:sz w:val="24"/>
              <w:szCs w:val="24"/>
            </w:rPr>
            <w:t>_</w:t>
          </w:r>
          <w:r w:rsidR="00942EF8">
            <w:rPr>
              <w:b/>
              <w:bCs/>
              <w:sz w:val="24"/>
              <w:szCs w:val="24"/>
            </w:rPr>
            <w:t>0</w:t>
          </w:r>
          <w:r w:rsidR="007326BE">
            <w:rPr>
              <w:b/>
              <w:bCs/>
              <w:sz w:val="24"/>
              <w:szCs w:val="24"/>
            </w:rPr>
            <w:t>1</w:t>
          </w:r>
          <w:r w:rsidR="000D02D5">
            <w:rPr>
              <w:b/>
              <w:bCs/>
              <w:sz w:val="24"/>
              <w:szCs w:val="24"/>
            </w:rPr>
            <w:t>_</w:t>
          </w:r>
          <w:r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218F"/>
    <w:multiLevelType w:val="hybridMultilevel"/>
    <w:tmpl w:val="2CAC3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B73FB"/>
    <w:multiLevelType w:val="hybridMultilevel"/>
    <w:tmpl w:val="1E0CFB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7424"/>
    <w:multiLevelType w:val="hybridMultilevel"/>
    <w:tmpl w:val="B3149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34FC8"/>
    <w:multiLevelType w:val="hybridMultilevel"/>
    <w:tmpl w:val="E6A4E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65292"/>
    <w:multiLevelType w:val="hybridMultilevel"/>
    <w:tmpl w:val="C958CB8C"/>
    <w:lvl w:ilvl="0" w:tplc="D17AD0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3540F"/>
    <w:multiLevelType w:val="hybridMultilevel"/>
    <w:tmpl w:val="05DAD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A01F0"/>
    <w:multiLevelType w:val="hybridMultilevel"/>
    <w:tmpl w:val="1D84DA4E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1A456CED"/>
    <w:multiLevelType w:val="hybridMultilevel"/>
    <w:tmpl w:val="02BC3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12568"/>
    <w:multiLevelType w:val="hybridMultilevel"/>
    <w:tmpl w:val="7DF22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1373E"/>
    <w:multiLevelType w:val="hybridMultilevel"/>
    <w:tmpl w:val="0F6CF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13D4A"/>
    <w:multiLevelType w:val="hybridMultilevel"/>
    <w:tmpl w:val="14D0A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B4700"/>
    <w:multiLevelType w:val="hybridMultilevel"/>
    <w:tmpl w:val="182E1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9470A5"/>
    <w:multiLevelType w:val="hybridMultilevel"/>
    <w:tmpl w:val="5ACE2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165EA1"/>
    <w:multiLevelType w:val="hybridMultilevel"/>
    <w:tmpl w:val="1F0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B0606"/>
    <w:multiLevelType w:val="hybridMultilevel"/>
    <w:tmpl w:val="61EAA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212630"/>
    <w:multiLevelType w:val="hybridMultilevel"/>
    <w:tmpl w:val="1EFC1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D6304C"/>
    <w:multiLevelType w:val="hybridMultilevel"/>
    <w:tmpl w:val="1CFA19F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980668"/>
    <w:multiLevelType w:val="hybridMultilevel"/>
    <w:tmpl w:val="D35C3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B8212E"/>
    <w:multiLevelType w:val="hybridMultilevel"/>
    <w:tmpl w:val="20C8DD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430A3C"/>
    <w:multiLevelType w:val="hybridMultilevel"/>
    <w:tmpl w:val="AD2848B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B48EA"/>
    <w:multiLevelType w:val="hybridMultilevel"/>
    <w:tmpl w:val="0B422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57C7B"/>
    <w:multiLevelType w:val="hybridMultilevel"/>
    <w:tmpl w:val="AF504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331D"/>
    <w:multiLevelType w:val="hybridMultilevel"/>
    <w:tmpl w:val="3D3C9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697F05"/>
    <w:multiLevelType w:val="hybridMultilevel"/>
    <w:tmpl w:val="75E42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373E3"/>
    <w:multiLevelType w:val="hybridMultilevel"/>
    <w:tmpl w:val="4CFCF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E6908"/>
    <w:multiLevelType w:val="hybridMultilevel"/>
    <w:tmpl w:val="37A4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C95C1F"/>
    <w:multiLevelType w:val="hybridMultilevel"/>
    <w:tmpl w:val="6BDEC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F163AE"/>
    <w:multiLevelType w:val="hybridMultilevel"/>
    <w:tmpl w:val="B9C4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82A"/>
    <w:multiLevelType w:val="hybridMultilevel"/>
    <w:tmpl w:val="E1A4D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BD5FF8"/>
    <w:multiLevelType w:val="hybridMultilevel"/>
    <w:tmpl w:val="15886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068B1"/>
    <w:multiLevelType w:val="hybridMultilevel"/>
    <w:tmpl w:val="350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26E03"/>
    <w:multiLevelType w:val="hybridMultilevel"/>
    <w:tmpl w:val="4BEC0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E1C0A"/>
    <w:multiLevelType w:val="hybridMultilevel"/>
    <w:tmpl w:val="C28CEC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D0230"/>
    <w:multiLevelType w:val="hybridMultilevel"/>
    <w:tmpl w:val="47B09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2C72E2"/>
    <w:multiLevelType w:val="hybridMultilevel"/>
    <w:tmpl w:val="12AE17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07237">
    <w:abstractNumId w:val="4"/>
  </w:num>
  <w:num w:numId="2" w16cid:durableId="1739477119">
    <w:abstractNumId w:val="22"/>
  </w:num>
  <w:num w:numId="3" w16cid:durableId="1614173440">
    <w:abstractNumId w:val="12"/>
  </w:num>
  <w:num w:numId="4" w16cid:durableId="1806123259">
    <w:abstractNumId w:val="9"/>
  </w:num>
  <w:num w:numId="5" w16cid:durableId="586113999">
    <w:abstractNumId w:val="23"/>
  </w:num>
  <w:num w:numId="6" w16cid:durableId="1093431904">
    <w:abstractNumId w:val="31"/>
  </w:num>
  <w:num w:numId="7" w16cid:durableId="980304726">
    <w:abstractNumId w:val="15"/>
  </w:num>
  <w:num w:numId="8" w16cid:durableId="1158691556">
    <w:abstractNumId w:val="1"/>
  </w:num>
  <w:num w:numId="9" w16cid:durableId="640159795">
    <w:abstractNumId w:val="8"/>
  </w:num>
  <w:num w:numId="10" w16cid:durableId="1320690239">
    <w:abstractNumId w:val="24"/>
  </w:num>
  <w:num w:numId="11" w16cid:durableId="2114472574">
    <w:abstractNumId w:val="16"/>
  </w:num>
  <w:num w:numId="12" w16cid:durableId="543368630">
    <w:abstractNumId w:val="27"/>
  </w:num>
  <w:num w:numId="13" w16cid:durableId="1701391019">
    <w:abstractNumId w:val="6"/>
  </w:num>
  <w:num w:numId="14" w16cid:durableId="564686292">
    <w:abstractNumId w:val="13"/>
  </w:num>
  <w:num w:numId="15" w16cid:durableId="1389374890">
    <w:abstractNumId w:val="5"/>
  </w:num>
  <w:num w:numId="16" w16cid:durableId="493033571">
    <w:abstractNumId w:val="19"/>
  </w:num>
  <w:num w:numId="17" w16cid:durableId="604270392">
    <w:abstractNumId w:val="32"/>
  </w:num>
  <w:num w:numId="18" w16cid:durableId="1105147681">
    <w:abstractNumId w:val="7"/>
  </w:num>
  <w:num w:numId="19" w16cid:durableId="1009674814">
    <w:abstractNumId w:val="10"/>
  </w:num>
  <w:num w:numId="20" w16cid:durableId="1595280589">
    <w:abstractNumId w:val="17"/>
  </w:num>
  <w:num w:numId="21" w16cid:durableId="1585148308">
    <w:abstractNumId w:val="3"/>
  </w:num>
  <w:num w:numId="22" w16cid:durableId="609241357">
    <w:abstractNumId w:val="18"/>
  </w:num>
  <w:num w:numId="23" w16cid:durableId="741223425">
    <w:abstractNumId w:val="26"/>
  </w:num>
  <w:num w:numId="24" w16cid:durableId="852111961">
    <w:abstractNumId w:val="14"/>
  </w:num>
  <w:num w:numId="25" w16cid:durableId="881096454">
    <w:abstractNumId w:val="0"/>
  </w:num>
  <w:num w:numId="26" w16cid:durableId="867836679">
    <w:abstractNumId w:val="28"/>
  </w:num>
  <w:num w:numId="27" w16cid:durableId="1493718932">
    <w:abstractNumId w:val="11"/>
  </w:num>
  <w:num w:numId="28" w16cid:durableId="1700936396">
    <w:abstractNumId w:val="30"/>
  </w:num>
  <w:num w:numId="29" w16cid:durableId="470024954">
    <w:abstractNumId w:val="20"/>
  </w:num>
  <w:num w:numId="30" w16cid:durableId="1345473873">
    <w:abstractNumId w:val="29"/>
  </w:num>
  <w:num w:numId="31" w16cid:durableId="1809974682">
    <w:abstractNumId w:val="2"/>
  </w:num>
  <w:num w:numId="32" w16cid:durableId="1045561423">
    <w:abstractNumId w:val="33"/>
  </w:num>
  <w:num w:numId="33" w16cid:durableId="1167944746">
    <w:abstractNumId w:val="25"/>
  </w:num>
  <w:num w:numId="34" w16cid:durableId="1831944989">
    <w:abstractNumId w:val="34"/>
  </w:num>
  <w:num w:numId="35" w16cid:durableId="114466321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237B"/>
    <w:rsid w:val="0000258A"/>
    <w:rsid w:val="0000320E"/>
    <w:rsid w:val="00003413"/>
    <w:rsid w:val="00004D0F"/>
    <w:rsid w:val="00004F1C"/>
    <w:rsid w:val="00005794"/>
    <w:rsid w:val="00010FD6"/>
    <w:rsid w:val="00013AC8"/>
    <w:rsid w:val="00016934"/>
    <w:rsid w:val="000212D1"/>
    <w:rsid w:val="00021930"/>
    <w:rsid w:val="00021D44"/>
    <w:rsid w:val="00022310"/>
    <w:rsid w:val="00022882"/>
    <w:rsid w:val="0002491F"/>
    <w:rsid w:val="00027DF7"/>
    <w:rsid w:val="00030C39"/>
    <w:rsid w:val="00030F68"/>
    <w:rsid w:val="00031FAC"/>
    <w:rsid w:val="000325CC"/>
    <w:rsid w:val="00034317"/>
    <w:rsid w:val="00034F9F"/>
    <w:rsid w:val="00037A9D"/>
    <w:rsid w:val="0004085C"/>
    <w:rsid w:val="00040ADC"/>
    <w:rsid w:val="00043BD7"/>
    <w:rsid w:val="00044D67"/>
    <w:rsid w:val="00045ED1"/>
    <w:rsid w:val="00050331"/>
    <w:rsid w:val="00053161"/>
    <w:rsid w:val="000537F8"/>
    <w:rsid w:val="00060BD9"/>
    <w:rsid w:val="00062944"/>
    <w:rsid w:val="00063156"/>
    <w:rsid w:val="00066A1C"/>
    <w:rsid w:val="0007498C"/>
    <w:rsid w:val="000756D8"/>
    <w:rsid w:val="00075AE5"/>
    <w:rsid w:val="00084E5C"/>
    <w:rsid w:val="0008513B"/>
    <w:rsid w:val="000926CF"/>
    <w:rsid w:val="00093141"/>
    <w:rsid w:val="000934E1"/>
    <w:rsid w:val="00094062"/>
    <w:rsid w:val="000A2CAD"/>
    <w:rsid w:val="000A3273"/>
    <w:rsid w:val="000A442F"/>
    <w:rsid w:val="000A582C"/>
    <w:rsid w:val="000A5D39"/>
    <w:rsid w:val="000A74D1"/>
    <w:rsid w:val="000B1032"/>
    <w:rsid w:val="000B1151"/>
    <w:rsid w:val="000B1BAF"/>
    <w:rsid w:val="000B1FE0"/>
    <w:rsid w:val="000B7035"/>
    <w:rsid w:val="000B741F"/>
    <w:rsid w:val="000C27F3"/>
    <w:rsid w:val="000C29D9"/>
    <w:rsid w:val="000C2A74"/>
    <w:rsid w:val="000C39A5"/>
    <w:rsid w:val="000C3E87"/>
    <w:rsid w:val="000C3EDD"/>
    <w:rsid w:val="000C520C"/>
    <w:rsid w:val="000C5DD7"/>
    <w:rsid w:val="000D02D5"/>
    <w:rsid w:val="000D113B"/>
    <w:rsid w:val="000D2C19"/>
    <w:rsid w:val="000D54BD"/>
    <w:rsid w:val="000D5C69"/>
    <w:rsid w:val="000D5DBD"/>
    <w:rsid w:val="000D79CD"/>
    <w:rsid w:val="000E0F0B"/>
    <w:rsid w:val="000E1EF4"/>
    <w:rsid w:val="000E5668"/>
    <w:rsid w:val="000E713A"/>
    <w:rsid w:val="000E7D86"/>
    <w:rsid w:val="000F2863"/>
    <w:rsid w:val="000F66F0"/>
    <w:rsid w:val="000F6BD2"/>
    <w:rsid w:val="001007DA"/>
    <w:rsid w:val="00103702"/>
    <w:rsid w:val="00112F05"/>
    <w:rsid w:val="00120657"/>
    <w:rsid w:val="00124F9B"/>
    <w:rsid w:val="001278DA"/>
    <w:rsid w:val="00131BC8"/>
    <w:rsid w:val="00133596"/>
    <w:rsid w:val="0013549C"/>
    <w:rsid w:val="001355C7"/>
    <w:rsid w:val="001365FD"/>
    <w:rsid w:val="00136855"/>
    <w:rsid w:val="00136B49"/>
    <w:rsid w:val="00137A1E"/>
    <w:rsid w:val="001410E3"/>
    <w:rsid w:val="0014141B"/>
    <w:rsid w:val="001433E4"/>
    <w:rsid w:val="0014432D"/>
    <w:rsid w:val="001445D4"/>
    <w:rsid w:val="00145497"/>
    <w:rsid w:val="0015446D"/>
    <w:rsid w:val="0015494E"/>
    <w:rsid w:val="0016235B"/>
    <w:rsid w:val="00163C5F"/>
    <w:rsid w:val="00164593"/>
    <w:rsid w:val="00172CB8"/>
    <w:rsid w:val="00173234"/>
    <w:rsid w:val="00173C6D"/>
    <w:rsid w:val="0018252C"/>
    <w:rsid w:val="00182FB3"/>
    <w:rsid w:val="001834A1"/>
    <w:rsid w:val="00187913"/>
    <w:rsid w:val="00196781"/>
    <w:rsid w:val="00197053"/>
    <w:rsid w:val="001A1BCB"/>
    <w:rsid w:val="001A37FE"/>
    <w:rsid w:val="001A48A6"/>
    <w:rsid w:val="001A5DAA"/>
    <w:rsid w:val="001A60C0"/>
    <w:rsid w:val="001B5143"/>
    <w:rsid w:val="001B59A0"/>
    <w:rsid w:val="001B5FBA"/>
    <w:rsid w:val="001B7775"/>
    <w:rsid w:val="001C0F4A"/>
    <w:rsid w:val="001C2830"/>
    <w:rsid w:val="001C30F7"/>
    <w:rsid w:val="001C492B"/>
    <w:rsid w:val="001C5A78"/>
    <w:rsid w:val="001C62BE"/>
    <w:rsid w:val="001C6D99"/>
    <w:rsid w:val="001D7879"/>
    <w:rsid w:val="001E00E8"/>
    <w:rsid w:val="001E11AF"/>
    <w:rsid w:val="001E1E88"/>
    <w:rsid w:val="001E370C"/>
    <w:rsid w:val="001E5044"/>
    <w:rsid w:val="001E6829"/>
    <w:rsid w:val="001F6D5C"/>
    <w:rsid w:val="00201C55"/>
    <w:rsid w:val="0020251E"/>
    <w:rsid w:val="00204CD9"/>
    <w:rsid w:val="00205499"/>
    <w:rsid w:val="0021033D"/>
    <w:rsid w:val="002123DF"/>
    <w:rsid w:val="00214CE0"/>
    <w:rsid w:val="002161C5"/>
    <w:rsid w:val="00216CD2"/>
    <w:rsid w:val="00222606"/>
    <w:rsid w:val="0022587F"/>
    <w:rsid w:val="00230E45"/>
    <w:rsid w:val="002310C4"/>
    <w:rsid w:val="00234EAF"/>
    <w:rsid w:val="00235588"/>
    <w:rsid w:val="00241C02"/>
    <w:rsid w:val="002549E6"/>
    <w:rsid w:val="00254AF8"/>
    <w:rsid w:val="0025562E"/>
    <w:rsid w:val="002563F8"/>
    <w:rsid w:val="00257A17"/>
    <w:rsid w:val="00261FCC"/>
    <w:rsid w:val="00261FE3"/>
    <w:rsid w:val="00263140"/>
    <w:rsid w:val="002658D7"/>
    <w:rsid w:val="002702BE"/>
    <w:rsid w:val="00271446"/>
    <w:rsid w:val="002719C0"/>
    <w:rsid w:val="0027281E"/>
    <w:rsid w:val="00274064"/>
    <w:rsid w:val="00276249"/>
    <w:rsid w:val="002809E2"/>
    <w:rsid w:val="00281C25"/>
    <w:rsid w:val="00282CD0"/>
    <w:rsid w:val="00283879"/>
    <w:rsid w:val="002931CB"/>
    <w:rsid w:val="00295C84"/>
    <w:rsid w:val="0029787F"/>
    <w:rsid w:val="002A0836"/>
    <w:rsid w:val="002A0C7D"/>
    <w:rsid w:val="002A0E77"/>
    <w:rsid w:val="002A4F57"/>
    <w:rsid w:val="002A7694"/>
    <w:rsid w:val="002B0DFD"/>
    <w:rsid w:val="002B1BBD"/>
    <w:rsid w:val="002B46E3"/>
    <w:rsid w:val="002B4928"/>
    <w:rsid w:val="002B5393"/>
    <w:rsid w:val="002B5A77"/>
    <w:rsid w:val="002C4653"/>
    <w:rsid w:val="002C52AE"/>
    <w:rsid w:val="002C55D8"/>
    <w:rsid w:val="002D0EB8"/>
    <w:rsid w:val="002D1887"/>
    <w:rsid w:val="002D430D"/>
    <w:rsid w:val="002D5AAF"/>
    <w:rsid w:val="002D7F5F"/>
    <w:rsid w:val="002E2F5C"/>
    <w:rsid w:val="002E560D"/>
    <w:rsid w:val="002E5F8F"/>
    <w:rsid w:val="002E6DE9"/>
    <w:rsid w:val="002E7F20"/>
    <w:rsid w:val="002F0E9A"/>
    <w:rsid w:val="002F2958"/>
    <w:rsid w:val="002F5455"/>
    <w:rsid w:val="002F6CBA"/>
    <w:rsid w:val="003027CF"/>
    <w:rsid w:val="00306A7C"/>
    <w:rsid w:val="0031313F"/>
    <w:rsid w:val="003158D5"/>
    <w:rsid w:val="00315CCD"/>
    <w:rsid w:val="003161E5"/>
    <w:rsid w:val="00316B0F"/>
    <w:rsid w:val="003177CC"/>
    <w:rsid w:val="003224D0"/>
    <w:rsid w:val="003225A4"/>
    <w:rsid w:val="003327F1"/>
    <w:rsid w:val="00332C00"/>
    <w:rsid w:val="00332C1B"/>
    <w:rsid w:val="00332D3A"/>
    <w:rsid w:val="0033302D"/>
    <w:rsid w:val="00336E27"/>
    <w:rsid w:val="003372E6"/>
    <w:rsid w:val="0034256B"/>
    <w:rsid w:val="00343670"/>
    <w:rsid w:val="00344E95"/>
    <w:rsid w:val="00347EC1"/>
    <w:rsid w:val="003505B0"/>
    <w:rsid w:val="00353E9E"/>
    <w:rsid w:val="003545EB"/>
    <w:rsid w:val="003607AE"/>
    <w:rsid w:val="00362DE5"/>
    <w:rsid w:val="0036378C"/>
    <w:rsid w:val="00365FA1"/>
    <w:rsid w:val="00366D26"/>
    <w:rsid w:val="0037008C"/>
    <w:rsid w:val="00371894"/>
    <w:rsid w:val="00371B3D"/>
    <w:rsid w:val="00372A2E"/>
    <w:rsid w:val="00373FE8"/>
    <w:rsid w:val="00375F23"/>
    <w:rsid w:val="00376760"/>
    <w:rsid w:val="00376CF1"/>
    <w:rsid w:val="0038013E"/>
    <w:rsid w:val="00385B0D"/>
    <w:rsid w:val="00390B74"/>
    <w:rsid w:val="00391F17"/>
    <w:rsid w:val="003923F1"/>
    <w:rsid w:val="00392682"/>
    <w:rsid w:val="00392ACB"/>
    <w:rsid w:val="00395131"/>
    <w:rsid w:val="00395C89"/>
    <w:rsid w:val="00396A99"/>
    <w:rsid w:val="003A415B"/>
    <w:rsid w:val="003A4A86"/>
    <w:rsid w:val="003A56C1"/>
    <w:rsid w:val="003B1F85"/>
    <w:rsid w:val="003B326E"/>
    <w:rsid w:val="003B3402"/>
    <w:rsid w:val="003B3822"/>
    <w:rsid w:val="003B54EA"/>
    <w:rsid w:val="003B7A84"/>
    <w:rsid w:val="003C010B"/>
    <w:rsid w:val="003C317A"/>
    <w:rsid w:val="003C54FF"/>
    <w:rsid w:val="003C5F2B"/>
    <w:rsid w:val="003D16A7"/>
    <w:rsid w:val="003D5AB6"/>
    <w:rsid w:val="003E0A68"/>
    <w:rsid w:val="003E0A6A"/>
    <w:rsid w:val="003E1A3C"/>
    <w:rsid w:val="003E401C"/>
    <w:rsid w:val="003E55AF"/>
    <w:rsid w:val="003F6445"/>
    <w:rsid w:val="003F6CA4"/>
    <w:rsid w:val="003F6CE3"/>
    <w:rsid w:val="004007FB"/>
    <w:rsid w:val="00403916"/>
    <w:rsid w:val="0040584A"/>
    <w:rsid w:val="00406AB3"/>
    <w:rsid w:val="00407C18"/>
    <w:rsid w:val="0041078A"/>
    <w:rsid w:val="004113DE"/>
    <w:rsid w:val="00415939"/>
    <w:rsid w:val="00421D2B"/>
    <w:rsid w:val="00422173"/>
    <w:rsid w:val="0042436E"/>
    <w:rsid w:val="00424EDB"/>
    <w:rsid w:val="00433ABE"/>
    <w:rsid w:val="00434B22"/>
    <w:rsid w:val="00437C43"/>
    <w:rsid w:val="00440551"/>
    <w:rsid w:val="004429C3"/>
    <w:rsid w:val="00443F5F"/>
    <w:rsid w:val="00445DAF"/>
    <w:rsid w:val="0044606D"/>
    <w:rsid w:val="004548F3"/>
    <w:rsid w:val="00454D7F"/>
    <w:rsid w:val="00455BAF"/>
    <w:rsid w:val="00455FF2"/>
    <w:rsid w:val="00460B23"/>
    <w:rsid w:val="004616FC"/>
    <w:rsid w:val="00462AF0"/>
    <w:rsid w:val="00463F0D"/>
    <w:rsid w:val="00465624"/>
    <w:rsid w:val="004660C7"/>
    <w:rsid w:val="00467A84"/>
    <w:rsid w:val="00467B37"/>
    <w:rsid w:val="004700E6"/>
    <w:rsid w:val="00477E28"/>
    <w:rsid w:val="00481B3A"/>
    <w:rsid w:val="00484866"/>
    <w:rsid w:val="0048683D"/>
    <w:rsid w:val="00487C2A"/>
    <w:rsid w:val="00490C30"/>
    <w:rsid w:val="00491741"/>
    <w:rsid w:val="00494783"/>
    <w:rsid w:val="004968BF"/>
    <w:rsid w:val="004970A5"/>
    <w:rsid w:val="004979DB"/>
    <w:rsid w:val="00497E02"/>
    <w:rsid w:val="004A08B4"/>
    <w:rsid w:val="004A27EA"/>
    <w:rsid w:val="004A6679"/>
    <w:rsid w:val="004A7849"/>
    <w:rsid w:val="004B4AC1"/>
    <w:rsid w:val="004C0CD0"/>
    <w:rsid w:val="004C106C"/>
    <w:rsid w:val="004C323F"/>
    <w:rsid w:val="004D2495"/>
    <w:rsid w:val="004D2EA9"/>
    <w:rsid w:val="004D4C70"/>
    <w:rsid w:val="004E00D9"/>
    <w:rsid w:val="004E0F10"/>
    <w:rsid w:val="004E172E"/>
    <w:rsid w:val="004E2A03"/>
    <w:rsid w:val="004E2BA3"/>
    <w:rsid w:val="004E33DD"/>
    <w:rsid w:val="004E3714"/>
    <w:rsid w:val="004E4D3F"/>
    <w:rsid w:val="004E53C5"/>
    <w:rsid w:val="004F0410"/>
    <w:rsid w:val="004F0411"/>
    <w:rsid w:val="004F29CB"/>
    <w:rsid w:val="004F319A"/>
    <w:rsid w:val="004F342E"/>
    <w:rsid w:val="004F68F2"/>
    <w:rsid w:val="00503DD2"/>
    <w:rsid w:val="00504892"/>
    <w:rsid w:val="00506978"/>
    <w:rsid w:val="0051169D"/>
    <w:rsid w:val="00513BD7"/>
    <w:rsid w:val="0051525B"/>
    <w:rsid w:val="00516F5C"/>
    <w:rsid w:val="00522E39"/>
    <w:rsid w:val="00524DEA"/>
    <w:rsid w:val="00531BEA"/>
    <w:rsid w:val="00532B53"/>
    <w:rsid w:val="00532D9B"/>
    <w:rsid w:val="005347AF"/>
    <w:rsid w:val="00536F16"/>
    <w:rsid w:val="00537DAD"/>
    <w:rsid w:val="005417E4"/>
    <w:rsid w:val="00542B68"/>
    <w:rsid w:val="005462AC"/>
    <w:rsid w:val="0055402A"/>
    <w:rsid w:val="00554B2B"/>
    <w:rsid w:val="005566E3"/>
    <w:rsid w:val="005601B6"/>
    <w:rsid w:val="0056314E"/>
    <w:rsid w:val="005644CE"/>
    <w:rsid w:val="0056628D"/>
    <w:rsid w:val="00572D88"/>
    <w:rsid w:val="005758E2"/>
    <w:rsid w:val="00576088"/>
    <w:rsid w:val="00582644"/>
    <w:rsid w:val="005831A8"/>
    <w:rsid w:val="005845A4"/>
    <w:rsid w:val="005900C1"/>
    <w:rsid w:val="00592026"/>
    <w:rsid w:val="0059208A"/>
    <w:rsid w:val="005950C6"/>
    <w:rsid w:val="005971D7"/>
    <w:rsid w:val="005A0287"/>
    <w:rsid w:val="005A6D9D"/>
    <w:rsid w:val="005A7B0B"/>
    <w:rsid w:val="005B08E2"/>
    <w:rsid w:val="005B18E3"/>
    <w:rsid w:val="005B5506"/>
    <w:rsid w:val="005B6FAD"/>
    <w:rsid w:val="005C01EB"/>
    <w:rsid w:val="005C4A86"/>
    <w:rsid w:val="005C6A3E"/>
    <w:rsid w:val="005D0143"/>
    <w:rsid w:val="005D0CC5"/>
    <w:rsid w:val="005D27A7"/>
    <w:rsid w:val="005D58AE"/>
    <w:rsid w:val="005E0C5D"/>
    <w:rsid w:val="005E281D"/>
    <w:rsid w:val="005E3C6B"/>
    <w:rsid w:val="005E56A9"/>
    <w:rsid w:val="005F0DC5"/>
    <w:rsid w:val="005F3741"/>
    <w:rsid w:val="005F5B11"/>
    <w:rsid w:val="005F6772"/>
    <w:rsid w:val="006019E3"/>
    <w:rsid w:val="0060241C"/>
    <w:rsid w:val="006026A1"/>
    <w:rsid w:val="00602979"/>
    <w:rsid w:val="006037B3"/>
    <w:rsid w:val="0060380B"/>
    <w:rsid w:val="006107F8"/>
    <w:rsid w:val="00611779"/>
    <w:rsid w:val="00611B5C"/>
    <w:rsid w:val="00617BE4"/>
    <w:rsid w:val="0062075E"/>
    <w:rsid w:val="0062216C"/>
    <w:rsid w:val="0062295B"/>
    <w:rsid w:val="00622CD1"/>
    <w:rsid w:val="00623AC3"/>
    <w:rsid w:val="00623C7A"/>
    <w:rsid w:val="00623CF5"/>
    <w:rsid w:val="00624356"/>
    <w:rsid w:val="00626035"/>
    <w:rsid w:val="0062674E"/>
    <w:rsid w:val="00627D42"/>
    <w:rsid w:val="0063230E"/>
    <w:rsid w:val="006326F5"/>
    <w:rsid w:val="00633914"/>
    <w:rsid w:val="0064091A"/>
    <w:rsid w:val="00646B6D"/>
    <w:rsid w:val="006471DD"/>
    <w:rsid w:val="006536AF"/>
    <w:rsid w:val="00662BCF"/>
    <w:rsid w:val="006634F2"/>
    <w:rsid w:val="006700F3"/>
    <w:rsid w:val="0067017B"/>
    <w:rsid w:val="0067075A"/>
    <w:rsid w:val="0067291B"/>
    <w:rsid w:val="0067318A"/>
    <w:rsid w:val="00677BDB"/>
    <w:rsid w:val="00680594"/>
    <w:rsid w:val="00680D26"/>
    <w:rsid w:val="00681ADE"/>
    <w:rsid w:val="00682957"/>
    <w:rsid w:val="00684EAC"/>
    <w:rsid w:val="006925A2"/>
    <w:rsid w:val="00692B5E"/>
    <w:rsid w:val="006A412D"/>
    <w:rsid w:val="006B1CD7"/>
    <w:rsid w:val="006B2F18"/>
    <w:rsid w:val="006B5046"/>
    <w:rsid w:val="006B5208"/>
    <w:rsid w:val="006B55E9"/>
    <w:rsid w:val="006B6B49"/>
    <w:rsid w:val="006C060D"/>
    <w:rsid w:val="006C0F70"/>
    <w:rsid w:val="006C156A"/>
    <w:rsid w:val="006C3475"/>
    <w:rsid w:val="006C3C28"/>
    <w:rsid w:val="006C46CF"/>
    <w:rsid w:val="006D0830"/>
    <w:rsid w:val="006D15E0"/>
    <w:rsid w:val="006D3537"/>
    <w:rsid w:val="006D35CC"/>
    <w:rsid w:val="006E3165"/>
    <w:rsid w:val="006E4C47"/>
    <w:rsid w:val="006E611B"/>
    <w:rsid w:val="006F482D"/>
    <w:rsid w:val="006F5D19"/>
    <w:rsid w:val="006F5F2A"/>
    <w:rsid w:val="006F618D"/>
    <w:rsid w:val="006F6AA9"/>
    <w:rsid w:val="0070537D"/>
    <w:rsid w:val="00710F36"/>
    <w:rsid w:val="0071211E"/>
    <w:rsid w:val="007133E9"/>
    <w:rsid w:val="00715960"/>
    <w:rsid w:val="007220C9"/>
    <w:rsid w:val="00722301"/>
    <w:rsid w:val="00722B8A"/>
    <w:rsid w:val="00724664"/>
    <w:rsid w:val="00725E72"/>
    <w:rsid w:val="007326BE"/>
    <w:rsid w:val="00733897"/>
    <w:rsid w:val="00734473"/>
    <w:rsid w:val="00736804"/>
    <w:rsid w:val="00741E4E"/>
    <w:rsid w:val="0075107E"/>
    <w:rsid w:val="00752134"/>
    <w:rsid w:val="00753BF0"/>
    <w:rsid w:val="0075520D"/>
    <w:rsid w:val="0075576B"/>
    <w:rsid w:val="007563C1"/>
    <w:rsid w:val="007600EE"/>
    <w:rsid w:val="0076636B"/>
    <w:rsid w:val="00767533"/>
    <w:rsid w:val="007702D7"/>
    <w:rsid w:val="007707DD"/>
    <w:rsid w:val="007717EB"/>
    <w:rsid w:val="007726EC"/>
    <w:rsid w:val="007804E9"/>
    <w:rsid w:val="00783784"/>
    <w:rsid w:val="007850FF"/>
    <w:rsid w:val="00787FB4"/>
    <w:rsid w:val="00790841"/>
    <w:rsid w:val="00792353"/>
    <w:rsid w:val="0079360F"/>
    <w:rsid w:val="00795F71"/>
    <w:rsid w:val="00797AED"/>
    <w:rsid w:val="007A20BE"/>
    <w:rsid w:val="007A36D8"/>
    <w:rsid w:val="007A3B61"/>
    <w:rsid w:val="007A4273"/>
    <w:rsid w:val="007A50CA"/>
    <w:rsid w:val="007A79DA"/>
    <w:rsid w:val="007B5747"/>
    <w:rsid w:val="007B5D6D"/>
    <w:rsid w:val="007B63DA"/>
    <w:rsid w:val="007C1BD5"/>
    <w:rsid w:val="007C2528"/>
    <w:rsid w:val="007C32C8"/>
    <w:rsid w:val="007C4AF1"/>
    <w:rsid w:val="007D32F8"/>
    <w:rsid w:val="007D4F95"/>
    <w:rsid w:val="007D6D63"/>
    <w:rsid w:val="007E62C1"/>
    <w:rsid w:val="007E6B43"/>
    <w:rsid w:val="007E6D97"/>
    <w:rsid w:val="007F2642"/>
    <w:rsid w:val="007F2C33"/>
    <w:rsid w:val="007F5869"/>
    <w:rsid w:val="007F66C1"/>
    <w:rsid w:val="00800CD8"/>
    <w:rsid w:val="008036A3"/>
    <w:rsid w:val="00803CA8"/>
    <w:rsid w:val="008046E7"/>
    <w:rsid w:val="00804E6B"/>
    <w:rsid w:val="00805392"/>
    <w:rsid w:val="00806B34"/>
    <w:rsid w:val="00810722"/>
    <w:rsid w:val="00820AC3"/>
    <w:rsid w:val="00820CBE"/>
    <w:rsid w:val="00820D1C"/>
    <w:rsid w:val="00821B03"/>
    <w:rsid w:val="00826269"/>
    <w:rsid w:val="008274F6"/>
    <w:rsid w:val="00831B45"/>
    <w:rsid w:val="00834325"/>
    <w:rsid w:val="008408EE"/>
    <w:rsid w:val="00840951"/>
    <w:rsid w:val="00840E1B"/>
    <w:rsid w:val="00842C69"/>
    <w:rsid w:val="0084559A"/>
    <w:rsid w:val="00846952"/>
    <w:rsid w:val="00851841"/>
    <w:rsid w:val="00852D17"/>
    <w:rsid w:val="00853CE0"/>
    <w:rsid w:val="00856568"/>
    <w:rsid w:val="0085797E"/>
    <w:rsid w:val="00860C05"/>
    <w:rsid w:val="00862408"/>
    <w:rsid w:val="00862790"/>
    <w:rsid w:val="00864B29"/>
    <w:rsid w:val="00864E33"/>
    <w:rsid w:val="008670BD"/>
    <w:rsid w:val="00872696"/>
    <w:rsid w:val="00876B2D"/>
    <w:rsid w:val="00877AD9"/>
    <w:rsid w:val="00881FD9"/>
    <w:rsid w:val="008835B2"/>
    <w:rsid w:val="00891F86"/>
    <w:rsid w:val="00892DF4"/>
    <w:rsid w:val="00893021"/>
    <w:rsid w:val="008935E1"/>
    <w:rsid w:val="00895224"/>
    <w:rsid w:val="00895CAB"/>
    <w:rsid w:val="008963F1"/>
    <w:rsid w:val="0089692A"/>
    <w:rsid w:val="008A2719"/>
    <w:rsid w:val="008A33FC"/>
    <w:rsid w:val="008A3D39"/>
    <w:rsid w:val="008A753B"/>
    <w:rsid w:val="008A75E7"/>
    <w:rsid w:val="008B11FC"/>
    <w:rsid w:val="008B12DE"/>
    <w:rsid w:val="008B22CD"/>
    <w:rsid w:val="008B3B03"/>
    <w:rsid w:val="008B3E3D"/>
    <w:rsid w:val="008C2744"/>
    <w:rsid w:val="008C65E6"/>
    <w:rsid w:val="008D0F20"/>
    <w:rsid w:val="008D3EC3"/>
    <w:rsid w:val="008D645C"/>
    <w:rsid w:val="008D7430"/>
    <w:rsid w:val="008E34A8"/>
    <w:rsid w:val="008E49D8"/>
    <w:rsid w:val="008E6FF8"/>
    <w:rsid w:val="008F18B1"/>
    <w:rsid w:val="008F2382"/>
    <w:rsid w:val="008F2E0C"/>
    <w:rsid w:val="008F4AAB"/>
    <w:rsid w:val="008F6B4E"/>
    <w:rsid w:val="00901BE8"/>
    <w:rsid w:val="00903567"/>
    <w:rsid w:val="00903E7C"/>
    <w:rsid w:val="009040FA"/>
    <w:rsid w:val="00904315"/>
    <w:rsid w:val="00910A59"/>
    <w:rsid w:val="009137A4"/>
    <w:rsid w:val="00913B7D"/>
    <w:rsid w:val="00923245"/>
    <w:rsid w:val="0092394D"/>
    <w:rsid w:val="009253EE"/>
    <w:rsid w:val="00926626"/>
    <w:rsid w:val="00931C7A"/>
    <w:rsid w:val="00932A4E"/>
    <w:rsid w:val="00940F40"/>
    <w:rsid w:val="00941984"/>
    <w:rsid w:val="00942EF8"/>
    <w:rsid w:val="00943440"/>
    <w:rsid w:val="00951B80"/>
    <w:rsid w:val="00952294"/>
    <w:rsid w:val="00952491"/>
    <w:rsid w:val="00961EB6"/>
    <w:rsid w:val="0096208F"/>
    <w:rsid w:val="00964A01"/>
    <w:rsid w:val="00970A76"/>
    <w:rsid w:val="009765FA"/>
    <w:rsid w:val="00977497"/>
    <w:rsid w:val="009810F4"/>
    <w:rsid w:val="0098736B"/>
    <w:rsid w:val="009908A9"/>
    <w:rsid w:val="00990903"/>
    <w:rsid w:val="00990CB7"/>
    <w:rsid w:val="00991725"/>
    <w:rsid w:val="0099236B"/>
    <w:rsid w:val="00992462"/>
    <w:rsid w:val="009928D8"/>
    <w:rsid w:val="0099339A"/>
    <w:rsid w:val="00993B93"/>
    <w:rsid w:val="0099633F"/>
    <w:rsid w:val="00997E56"/>
    <w:rsid w:val="009A018B"/>
    <w:rsid w:val="009A167A"/>
    <w:rsid w:val="009A3A41"/>
    <w:rsid w:val="009A3E89"/>
    <w:rsid w:val="009A4854"/>
    <w:rsid w:val="009A6CD4"/>
    <w:rsid w:val="009B2610"/>
    <w:rsid w:val="009B3443"/>
    <w:rsid w:val="009B3F9C"/>
    <w:rsid w:val="009B4D5B"/>
    <w:rsid w:val="009B7295"/>
    <w:rsid w:val="009C0E75"/>
    <w:rsid w:val="009C16D3"/>
    <w:rsid w:val="009C5532"/>
    <w:rsid w:val="009C64A1"/>
    <w:rsid w:val="009C7FFC"/>
    <w:rsid w:val="009D255E"/>
    <w:rsid w:val="009D43F4"/>
    <w:rsid w:val="009D5065"/>
    <w:rsid w:val="009E30DD"/>
    <w:rsid w:val="009E317A"/>
    <w:rsid w:val="009E48F4"/>
    <w:rsid w:val="009F0861"/>
    <w:rsid w:val="009F0C82"/>
    <w:rsid w:val="009F2503"/>
    <w:rsid w:val="009F3C5D"/>
    <w:rsid w:val="009F4B94"/>
    <w:rsid w:val="009F65A6"/>
    <w:rsid w:val="00A01578"/>
    <w:rsid w:val="00A057DB"/>
    <w:rsid w:val="00A13661"/>
    <w:rsid w:val="00A14DA0"/>
    <w:rsid w:val="00A16A5D"/>
    <w:rsid w:val="00A21731"/>
    <w:rsid w:val="00A2416C"/>
    <w:rsid w:val="00A26A10"/>
    <w:rsid w:val="00A362D0"/>
    <w:rsid w:val="00A364D8"/>
    <w:rsid w:val="00A3677B"/>
    <w:rsid w:val="00A36880"/>
    <w:rsid w:val="00A36F69"/>
    <w:rsid w:val="00A400F0"/>
    <w:rsid w:val="00A41D96"/>
    <w:rsid w:val="00A41F2F"/>
    <w:rsid w:val="00A43963"/>
    <w:rsid w:val="00A51167"/>
    <w:rsid w:val="00A51372"/>
    <w:rsid w:val="00A5178A"/>
    <w:rsid w:val="00A51EAB"/>
    <w:rsid w:val="00A5268F"/>
    <w:rsid w:val="00A53483"/>
    <w:rsid w:val="00A60C4C"/>
    <w:rsid w:val="00A60DD3"/>
    <w:rsid w:val="00A6331C"/>
    <w:rsid w:val="00A636DC"/>
    <w:rsid w:val="00A71EDF"/>
    <w:rsid w:val="00A72977"/>
    <w:rsid w:val="00A74B87"/>
    <w:rsid w:val="00A753C3"/>
    <w:rsid w:val="00A802A4"/>
    <w:rsid w:val="00A81E94"/>
    <w:rsid w:val="00A84615"/>
    <w:rsid w:val="00A85312"/>
    <w:rsid w:val="00A85DEC"/>
    <w:rsid w:val="00A862E9"/>
    <w:rsid w:val="00A90C13"/>
    <w:rsid w:val="00A927FF"/>
    <w:rsid w:val="00A93902"/>
    <w:rsid w:val="00A94A03"/>
    <w:rsid w:val="00AA5CCD"/>
    <w:rsid w:val="00AA66D6"/>
    <w:rsid w:val="00AA6DE3"/>
    <w:rsid w:val="00AB0E4C"/>
    <w:rsid w:val="00AB63DA"/>
    <w:rsid w:val="00AD01A1"/>
    <w:rsid w:val="00AD085E"/>
    <w:rsid w:val="00AD5546"/>
    <w:rsid w:val="00AD5FFF"/>
    <w:rsid w:val="00AD789C"/>
    <w:rsid w:val="00AE1127"/>
    <w:rsid w:val="00AE2061"/>
    <w:rsid w:val="00AE290A"/>
    <w:rsid w:val="00AE7FE5"/>
    <w:rsid w:val="00AF3B0C"/>
    <w:rsid w:val="00AF3CB4"/>
    <w:rsid w:val="00AF40D8"/>
    <w:rsid w:val="00AF5C80"/>
    <w:rsid w:val="00AF62D9"/>
    <w:rsid w:val="00B025C5"/>
    <w:rsid w:val="00B05E5A"/>
    <w:rsid w:val="00B06C4D"/>
    <w:rsid w:val="00B074DE"/>
    <w:rsid w:val="00B10438"/>
    <w:rsid w:val="00B14648"/>
    <w:rsid w:val="00B15A25"/>
    <w:rsid w:val="00B2311F"/>
    <w:rsid w:val="00B267C2"/>
    <w:rsid w:val="00B35350"/>
    <w:rsid w:val="00B416AE"/>
    <w:rsid w:val="00B424FE"/>
    <w:rsid w:val="00B43618"/>
    <w:rsid w:val="00B449AA"/>
    <w:rsid w:val="00B45016"/>
    <w:rsid w:val="00B45525"/>
    <w:rsid w:val="00B466B1"/>
    <w:rsid w:val="00B47268"/>
    <w:rsid w:val="00B47C9B"/>
    <w:rsid w:val="00B51DAB"/>
    <w:rsid w:val="00B55226"/>
    <w:rsid w:val="00B60380"/>
    <w:rsid w:val="00B62930"/>
    <w:rsid w:val="00B629CE"/>
    <w:rsid w:val="00B649B6"/>
    <w:rsid w:val="00B72805"/>
    <w:rsid w:val="00B7284B"/>
    <w:rsid w:val="00B81AFE"/>
    <w:rsid w:val="00B82D4C"/>
    <w:rsid w:val="00B84039"/>
    <w:rsid w:val="00B84B12"/>
    <w:rsid w:val="00B90E01"/>
    <w:rsid w:val="00B91E7E"/>
    <w:rsid w:val="00B933DF"/>
    <w:rsid w:val="00B96D68"/>
    <w:rsid w:val="00B975E4"/>
    <w:rsid w:val="00BA1503"/>
    <w:rsid w:val="00BB1097"/>
    <w:rsid w:val="00BB1920"/>
    <w:rsid w:val="00BB2849"/>
    <w:rsid w:val="00BB4784"/>
    <w:rsid w:val="00BC0C64"/>
    <w:rsid w:val="00BC333D"/>
    <w:rsid w:val="00BC7B8E"/>
    <w:rsid w:val="00BD0D6E"/>
    <w:rsid w:val="00BD2604"/>
    <w:rsid w:val="00BD2DC2"/>
    <w:rsid w:val="00BD4FB5"/>
    <w:rsid w:val="00BD7555"/>
    <w:rsid w:val="00BE103A"/>
    <w:rsid w:val="00BE26FD"/>
    <w:rsid w:val="00BE4624"/>
    <w:rsid w:val="00BE7436"/>
    <w:rsid w:val="00BF341E"/>
    <w:rsid w:val="00BF3AB9"/>
    <w:rsid w:val="00BF6B68"/>
    <w:rsid w:val="00BF7F73"/>
    <w:rsid w:val="00C01DE5"/>
    <w:rsid w:val="00C05B76"/>
    <w:rsid w:val="00C0616B"/>
    <w:rsid w:val="00C13A05"/>
    <w:rsid w:val="00C16295"/>
    <w:rsid w:val="00C17300"/>
    <w:rsid w:val="00C177F2"/>
    <w:rsid w:val="00C17A30"/>
    <w:rsid w:val="00C214B7"/>
    <w:rsid w:val="00C21C18"/>
    <w:rsid w:val="00C21F79"/>
    <w:rsid w:val="00C25B94"/>
    <w:rsid w:val="00C26651"/>
    <w:rsid w:val="00C30EF3"/>
    <w:rsid w:val="00C32565"/>
    <w:rsid w:val="00C3373F"/>
    <w:rsid w:val="00C348E2"/>
    <w:rsid w:val="00C353EB"/>
    <w:rsid w:val="00C40219"/>
    <w:rsid w:val="00C41FF4"/>
    <w:rsid w:val="00C4231C"/>
    <w:rsid w:val="00C438AD"/>
    <w:rsid w:val="00C45255"/>
    <w:rsid w:val="00C525F8"/>
    <w:rsid w:val="00C54F13"/>
    <w:rsid w:val="00C54F81"/>
    <w:rsid w:val="00C55E22"/>
    <w:rsid w:val="00C567D3"/>
    <w:rsid w:val="00C65520"/>
    <w:rsid w:val="00C66666"/>
    <w:rsid w:val="00C66E1B"/>
    <w:rsid w:val="00C673DC"/>
    <w:rsid w:val="00C71E7B"/>
    <w:rsid w:val="00C71EB6"/>
    <w:rsid w:val="00C75309"/>
    <w:rsid w:val="00C7530F"/>
    <w:rsid w:val="00C763E0"/>
    <w:rsid w:val="00C76CAA"/>
    <w:rsid w:val="00C816E4"/>
    <w:rsid w:val="00C82466"/>
    <w:rsid w:val="00C853BB"/>
    <w:rsid w:val="00C85BFC"/>
    <w:rsid w:val="00C86D8C"/>
    <w:rsid w:val="00C9371B"/>
    <w:rsid w:val="00C95A18"/>
    <w:rsid w:val="00C9648B"/>
    <w:rsid w:val="00C96C94"/>
    <w:rsid w:val="00CA3BD5"/>
    <w:rsid w:val="00CA42FC"/>
    <w:rsid w:val="00CA6FEB"/>
    <w:rsid w:val="00CA7401"/>
    <w:rsid w:val="00CB32C6"/>
    <w:rsid w:val="00CB35C2"/>
    <w:rsid w:val="00CB5665"/>
    <w:rsid w:val="00CC16EB"/>
    <w:rsid w:val="00CC2073"/>
    <w:rsid w:val="00CC26CA"/>
    <w:rsid w:val="00CC2E7F"/>
    <w:rsid w:val="00CC3083"/>
    <w:rsid w:val="00CC61DC"/>
    <w:rsid w:val="00CC6869"/>
    <w:rsid w:val="00CC7738"/>
    <w:rsid w:val="00CD123E"/>
    <w:rsid w:val="00CD3020"/>
    <w:rsid w:val="00CD5E61"/>
    <w:rsid w:val="00CE0A5B"/>
    <w:rsid w:val="00CE2236"/>
    <w:rsid w:val="00CE416E"/>
    <w:rsid w:val="00CE4358"/>
    <w:rsid w:val="00CE58B2"/>
    <w:rsid w:val="00CE5D80"/>
    <w:rsid w:val="00CE6089"/>
    <w:rsid w:val="00CF1E51"/>
    <w:rsid w:val="00CF367D"/>
    <w:rsid w:val="00CF5DEE"/>
    <w:rsid w:val="00D01AE6"/>
    <w:rsid w:val="00D04FD7"/>
    <w:rsid w:val="00D076A6"/>
    <w:rsid w:val="00D1185E"/>
    <w:rsid w:val="00D2303B"/>
    <w:rsid w:val="00D241F6"/>
    <w:rsid w:val="00D3142A"/>
    <w:rsid w:val="00D338B7"/>
    <w:rsid w:val="00D3398E"/>
    <w:rsid w:val="00D40EE9"/>
    <w:rsid w:val="00D422E7"/>
    <w:rsid w:val="00D44E55"/>
    <w:rsid w:val="00D46D6E"/>
    <w:rsid w:val="00D51370"/>
    <w:rsid w:val="00D52F01"/>
    <w:rsid w:val="00D566EA"/>
    <w:rsid w:val="00D566F2"/>
    <w:rsid w:val="00D57DDA"/>
    <w:rsid w:val="00D60849"/>
    <w:rsid w:val="00D6506F"/>
    <w:rsid w:val="00D67F70"/>
    <w:rsid w:val="00D7511C"/>
    <w:rsid w:val="00D7567D"/>
    <w:rsid w:val="00D80A2B"/>
    <w:rsid w:val="00D825AD"/>
    <w:rsid w:val="00D82BED"/>
    <w:rsid w:val="00D84879"/>
    <w:rsid w:val="00D90636"/>
    <w:rsid w:val="00D91970"/>
    <w:rsid w:val="00D92435"/>
    <w:rsid w:val="00D925E6"/>
    <w:rsid w:val="00D9396D"/>
    <w:rsid w:val="00D97322"/>
    <w:rsid w:val="00DA081D"/>
    <w:rsid w:val="00DA2EE9"/>
    <w:rsid w:val="00DA56D3"/>
    <w:rsid w:val="00DB033C"/>
    <w:rsid w:val="00DB0BD6"/>
    <w:rsid w:val="00DB13DE"/>
    <w:rsid w:val="00DB4956"/>
    <w:rsid w:val="00DB4D60"/>
    <w:rsid w:val="00DB62AB"/>
    <w:rsid w:val="00DB6D96"/>
    <w:rsid w:val="00DC094F"/>
    <w:rsid w:val="00DC281C"/>
    <w:rsid w:val="00DC4384"/>
    <w:rsid w:val="00DC7A14"/>
    <w:rsid w:val="00DD0E89"/>
    <w:rsid w:val="00DD13B8"/>
    <w:rsid w:val="00DD362F"/>
    <w:rsid w:val="00DD4156"/>
    <w:rsid w:val="00DE0614"/>
    <w:rsid w:val="00DE3C08"/>
    <w:rsid w:val="00DF13B7"/>
    <w:rsid w:val="00DF21C3"/>
    <w:rsid w:val="00DF2730"/>
    <w:rsid w:val="00DF2D89"/>
    <w:rsid w:val="00DF6AFA"/>
    <w:rsid w:val="00DF74B7"/>
    <w:rsid w:val="00E01F77"/>
    <w:rsid w:val="00E0367A"/>
    <w:rsid w:val="00E06958"/>
    <w:rsid w:val="00E07809"/>
    <w:rsid w:val="00E156AE"/>
    <w:rsid w:val="00E177BE"/>
    <w:rsid w:val="00E17827"/>
    <w:rsid w:val="00E201A6"/>
    <w:rsid w:val="00E25656"/>
    <w:rsid w:val="00E27DCC"/>
    <w:rsid w:val="00E30788"/>
    <w:rsid w:val="00E32A91"/>
    <w:rsid w:val="00E3316D"/>
    <w:rsid w:val="00E35022"/>
    <w:rsid w:val="00E3531E"/>
    <w:rsid w:val="00E356AC"/>
    <w:rsid w:val="00E36CFC"/>
    <w:rsid w:val="00E404EE"/>
    <w:rsid w:val="00E405B4"/>
    <w:rsid w:val="00E41248"/>
    <w:rsid w:val="00E425DA"/>
    <w:rsid w:val="00E436A3"/>
    <w:rsid w:val="00E43B28"/>
    <w:rsid w:val="00E45A0B"/>
    <w:rsid w:val="00E54F8C"/>
    <w:rsid w:val="00E61228"/>
    <w:rsid w:val="00E6413A"/>
    <w:rsid w:val="00E641F5"/>
    <w:rsid w:val="00E670DE"/>
    <w:rsid w:val="00E67945"/>
    <w:rsid w:val="00E67C56"/>
    <w:rsid w:val="00E70C75"/>
    <w:rsid w:val="00E74748"/>
    <w:rsid w:val="00E758A7"/>
    <w:rsid w:val="00E75CA1"/>
    <w:rsid w:val="00E760A6"/>
    <w:rsid w:val="00E85514"/>
    <w:rsid w:val="00E85CBF"/>
    <w:rsid w:val="00E86BC4"/>
    <w:rsid w:val="00E90627"/>
    <w:rsid w:val="00E93602"/>
    <w:rsid w:val="00E94B92"/>
    <w:rsid w:val="00E95132"/>
    <w:rsid w:val="00E969F7"/>
    <w:rsid w:val="00E96D61"/>
    <w:rsid w:val="00E974FD"/>
    <w:rsid w:val="00EA25B0"/>
    <w:rsid w:val="00EA6F7E"/>
    <w:rsid w:val="00EB34DF"/>
    <w:rsid w:val="00EB50F7"/>
    <w:rsid w:val="00EB5259"/>
    <w:rsid w:val="00EB57D7"/>
    <w:rsid w:val="00EC557E"/>
    <w:rsid w:val="00EC69EA"/>
    <w:rsid w:val="00EC7B6F"/>
    <w:rsid w:val="00ED3660"/>
    <w:rsid w:val="00ED5151"/>
    <w:rsid w:val="00ED7B01"/>
    <w:rsid w:val="00EE1730"/>
    <w:rsid w:val="00EE4815"/>
    <w:rsid w:val="00EE6ACB"/>
    <w:rsid w:val="00EE70CB"/>
    <w:rsid w:val="00EE7348"/>
    <w:rsid w:val="00EE75BB"/>
    <w:rsid w:val="00EF416B"/>
    <w:rsid w:val="00EF56C5"/>
    <w:rsid w:val="00F012A1"/>
    <w:rsid w:val="00F02351"/>
    <w:rsid w:val="00F0479F"/>
    <w:rsid w:val="00F05CF1"/>
    <w:rsid w:val="00F10729"/>
    <w:rsid w:val="00F10EE8"/>
    <w:rsid w:val="00F11A09"/>
    <w:rsid w:val="00F1325F"/>
    <w:rsid w:val="00F15E29"/>
    <w:rsid w:val="00F15E4F"/>
    <w:rsid w:val="00F164DD"/>
    <w:rsid w:val="00F2054D"/>
    <w:rsid w:val="00F22A0B"/>
    <w:rsid w:val="00F25100"/>
    <w:rsid w:val="00F2576B"/>
    <w:rsid w:val="00F302C6"/>
    <w:rsid w:val="00F30CAB"/>
    <w:rsid w:val="00F37EE9"/>
    <w:rsid w:val="00F41D3E"/>
    <w:rsid w:val="00F424FA"/>
    <w:rsid w:val="00F4414B"/>
    <w:rsid w:val="00F4478F"/>
    <w:rsid w:val="00F46CD8"/>
    <w:rsid w:val="00F50B19"/>
    <w:rsid w:val="00F5129B"/>
    <w:rsid w:val="00F52A8E"/>
    <w:rsid w:val="00F55336"/>
    <w:rsid w:val="00F55B1C"/>
    <w:rsid w:val="00F5612E"/>
    <w:rsid w:val="00F57E01"/>
    <w:rsid w:val="00F60FB1"/>
    <w:rsid w:val="00F61450"/>
    <w:rsid w:val="00F646F0"/>
    <w:rsid w:val="00F666C9"/>
    <w:rsid w:val="00F70EC4"/>
    <w:rsid w:val="00F71564"/>
    <w:rsid w:val="00F725E0"/>
    <w:rsid w:val="00F76CAD"/>
    <w:rsid w:val="00F774B9"/>
    <w:rsid w:val="00F776D0"/>
    <w:rsid w:val="00F86D8B"/>
    <w:rsid w:val="00F879F2"/>
    <w:rsid w:val="00F91FC3"/>
    <w:rsid w:val="00F94643"/>
    <w:rsid w:val="00F94F5A"/>
    <w:rsid w:val="00F953B6"/>
    <w:rsid w:val="00FA236C"/>
    <w:rsid w:val="00FA2AEE"/>
    <w:rsid w:val="00FA6439"/>
    <w:rsid w:val="00FA791D"/>
    <w:rsid w:val="00FB060B"/>
    <w:rsid w:val="00FB365B"/>
    <w:rsid w:val="00FB57BB"/>
    <w:rsid w:val="00FB6F5D"/>
    <w:rsid w:val="00FC4020"/>
    <w:rsid w:val="00FC69B5"/>
    <w:rsid w:val="00FC77CE"/>
    <w:rsid w:val="00FD317A"/>
    <w:rsid w:val="00FD408C"/>
    <w:rsid w:val="00FD4D2E"/>
    <w:rsid w:val="00FD4F0A"/>
    <w:rsid w:val="00FD6D2F"/>
    <w:rsid w:val="00FD6F7D"/>
    <w:rsid w:val="00FE0129"/>
    <w:rsid w:val="00FE4FDA"/>
    <w:rsid w:val="00FE6693"/>
    <w:rsid w:val="00FE674D"/>
    <w:rsid w:val="00FE713C"/>
    <w:rsid w:val="00FF1ECD"/>
    <w:rsid w:val="00FF4B36"/>
    <w:rsid w:val="00FF546F"/>
    <w:rsid w:val="00FF627E"/>
    <w:rsid w:val="00FF68E1"/>
    <w:rsid w:val="00FF749A"/>
    <w:rsid w:val="0198854A"/>
    <w:rsid w:val="0CA44BF8"/>
    <w:rsid w:val="0D269C3B"/>
    <w:rsid w:val="0EDF3D87"/>
    <w:rsid w:val="1206A2B0"/>
    <w:rsid w:val="1A972728"/>
    <w:rsid w:val="1C2E0C49"/>
    <w:rsid w:val="1D222A80"/>
    <w:rsid w:val="1F9AE7E7"/>
    <w:rsid w:val="204714C9"/>
    <w:rsid w:val="22174F75"/>
    <w:rsid w:val="2404B954"/>
    <w:rsid w:val="2C2C9CAE"/>
    <w:rsid w:val="2E51F8F3"/>
    <w:rsid w:val="2ED2CABF"/>
    <w:rsid w:val="3A98BE57"/>
    <w:rsid w:val="3BC09A71"/>
    <w:rsid w:val="3BCA4973"/>
    <w:rsid w:val="421EA4A6"/>
    <w:rsid w:val="46F27FA0"/>
    <w:rsid w:val="49D28C16"/>
    <w:rsid w:val="4EC53C32"/>
    <w:rsid w:val="5B14ADE0"/>
    <w:rsid w:val="5B8165EC"/>
    <w:rsid w:val="5C27B248"/>
    <w:rsid w:val="6179A32C"/>
    <w:rsid w:val="6315738D"/>
    <w:rsid w:val="63315568"/>
    <w:rsid w:val="63398860"/>
    <w:rsid w:val="65DC8032"/>
    <w:rsid w:val="670BE971"/>
    <w:rsid w:val="6A2C1D58"/>
    <w:rsid w:val="6A5BBB7A"/>
    <w:rsid w:val="6D45CE17"/>
    <w:rsid w:val="728389E9"/>
    <w:rsid w:val="72EE1ECD"/>
    <w:rsid w:val="78AFCE48"/>
    <w:rsid w:val="7F8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4007E7A9-D473-42F5-99A3-12D82C2E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67"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1E11AF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02491F"/>
  </w:style>
  <w:style w:type="paragraph" w:customStyle="1" w:styleId="TableParagraph">
    <w:name w:val="Table Paragraph"/>
    <w:basedOn w:val="Normal"/>
    <w:uiPriority w:val="1"/>
    <w:qFormat/>
    <w:rsid w:val="004039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01693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47C9B"/>
  </w:style>
  <w:style w:type="character" w:customStyle="1" w:styleId="ui-provider">
    <w:name w:val="ui-provider"/>
    <w:basedOn w:val="DefaultParagraphFont"/>
    <w:rsid w:val="00C82466"/>
  </w:style>
  <w:style w:type="paragraph" w:styleId="Revision">
    <w:name w:val="Revision"/>
    <w:hidden/>
    <w:uiPriority w:val="99"/>
    <w:semiHidden/>
    <w:rsid w:val="009B4D5B"/>
    <w:pPr>
      <w:spacing w:after="0" w:line="240" w:lineRule="auto"/>
    </w:pPr>
  </w:style>
  <w:style w:type="paragraph" w:customStyle="1" w:styleId="pf0">
    <w:name w:val="pf0"/>
    <w:basedOn w:val="Normal"/>
    <w:rsid w:val="00D5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D52F01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97749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DB62AB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7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007FB"/>
  </w:style>
  <w:style w:type="paragraph" w:customStyle="1" w:styleId="Default">
    <w:name w:val="Default"/>
    <w:rsid w:val="003330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68917-5F0E-41E6-ADFE-ECE3ED38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43</cp:revision>
  <cp:lastPrinted>2020-02-15T21:30:00Z</cp:lastPrinted>
  <dcterms:created xsi:type="dcterms:W3CDTF">2024-05-04T08:35:00Z</dcterms:created>
  <dcterms:modified xsi:type="dcterms:W3CDTF">2024-07-24T10:57:00Z</dcterms:modified>
  <cp:contentStatus/>
</cp:coreProperties>
</file>