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3261"/>
        <w:gridCol w:w="1701"/>
      </w:tblGrid>
      <w:tr w:rsidR="008A753B" w:rsidRPr="008A753B" w14:paraId="2A4DDC6B" w14:textId="77777777" w:rsidTr="3A98BE57">
        <w:tc>
          <w:tcPr>
            <w:tcW w:w="10207" w:type="dxa"/>
            <w:gridSpan w:val="3"/>
            <w:tcBorders>
              <w:bottom w:val="single" w:sz="4" w:space="0" w:color="auto"/>
            </w:tcBorders>
            <w:shd w:val="clear" w:color="auto" w:fill="auto"/>
          </w:tcPr>
          <w:p w14:paraId="08406ACC" w14:textId="4B1D13F5" w:rsidR="0000042C" w:rsidRPr="008A753B" w:rsidRDefault="00A71EDF" w:rsidP="00AA5CCD">
            <w:pPr>
              <w:spacing w:before="120" w:after="120"/>
              <w:rPr>
                <w:b/>
                <w:bCs/>
                <w:sz w:val="24"/>
                <w:szCs w:val="24"/>
              </w:rPr>
            </w:pPr>
            <w:r>
              <w:rPr>
                <w:b/>
                <w:bCs/>
                <w:sz w:val="24"/>
                <w:szCs w:val="24"/>
              </w:rPr>
              <w:t xml:space="preserve">CONFIRMED </w:t>
            </w:r>
            <w:r w:rsidR="005566E3" w:rsidRPr="008A753B">
              <w:rPr>
                <w:b/>
                <w:bCs/>
                <w:sz w:val="24"/>
                <w:szCs w:val="24"/>
              </w:rPr>
              <w:t xml:space="preserve">MINUTES OF THE MEETING HELD ON </w:t>
            </w:r>
            <w:r w:rsidR="00B90E01">
              <w:rPr>
                <w:b/>
                <w:bCs/>
                <w:sz w:val="24"/>
                <w:szCs w:val="24"/>
              </w:rPr>
              <w:t>3</w:t>
            </w:r>
            <w:r w:rsidR="00A93902">
              <w:rPr>
                <w:b/>
                <w:bCs/>
                <w:sz w:val="24"/>
                <w:szCs w:val="24"/>
              </w:rPr>
              <w:t xml:space="preserve"> MA</w:t>
            </w:r>
            <w:r w:rsidR="00B90E01">
              <w:rPr>
                <w:b/>
                <w:bCs/>
                <w:sz w:val="24"/>
                <w:szCs w:val="24"/>
              </w:rPr>
              <w:t>Y</w:t>
            </w:r>
            <w:r w:rsidR="00A93902">
              <w:rPr>
                <w:b/>
                <w:bCs/>
                <w:sz w:val="24"/>
                <w:szCs w:val="24"/>
              </w:rPr>
              <w:t xml:space="preserve"> </w:t>
            </w:r>
            <w:r w:rsidR="008D0F20">
              <w:rPr>
                <w:b/>
                <w:bCs/>
                <w:sz w:val="24"/>
                <w:szCs w:val="24"/>
              </w:rPr>
              <w:t>202</w:t>
            </w:r>
            <w:r w:rsidR="00A93902">
              <w:rPr>
                <w:b/>
                <w:bCs/>
                <w:sz w:val="24"/>
                <w:szCs w:val="24"/>
              </w:rPr>
              <w:t>3</w:t>
            </w:r>
          </w:p>
        </w:tc>
      </w:tr>
      <w:tr w:rsidR="008A753B" w:rsidRPr="008A753B" w14:paraId="648655F8" w14:textId="77777777" w:rsidTr="3A98BE57">
        <w:tc>
          <w:tcPr>
            <w:tcW w:w="10207" w:type="dxa"/>
            <w:gridSpan w:val="3"/>
            <w:tcBorders>
              <w:top w:val="single" w:sz="4" w:space="0" w:color="auto"/>
              <w:bottom w:val="single" w:sz="4" w:space="0" w:color="auto"/>
            </w:tcBorders>
          </w:tcPr>
          <w:p w14:paraId="6265554D" w14:textId="2757B112" w:rsidR="0056628D" w:rsidRPr="008A753B" w:rsidRDefault="0056628D" w:rsidP="000C3EDD">
            <w:pPr>
              <w:pStyle w:val="Heading2"/>
              <w:rPr>
                <w:b w:val="0"/>
              </w:rPr>
            </w:pPr>
            <w:r w:rsidRPr="008A753B">
              <w:t>PRESENT:</w:t>
            </w:r>
          </w:p>
        </w:tc>
      </w:tr>
      <w:tr w:rsidR="00864B29" w:rsidRPr="008A753B" w14:paraId="55D3FC8D" w14:textId="77777777" w:rsidTr="3A98BE57">
        <w:tc>
          <w:tcPr>
            <w:tcW w:w="5245" w:type="dxa"/>
            <w:tcBorders>
              <w:top w:val="single" w:sz="4" w:space="0" w:color="auto"/>
            </w:tcBorders>
          </w:tcPr>
          <w:p w14:paraId="3D959F2F" w14:textId="54B912E0" w:rsidR="00864B29" w:rsidRPr="008A753B" w:rsidRDefault="00A93902" w:rsidP="00864B29">
            <w:pPr>
              <w:spacing w:before="60"/>
              <w:rPr>
                <w:sz w:val="24"/>
                <w:szCs w:val="24"/>
              </w:rPr>
            </w:pPr>
            <w:r>
              <w:rPr>
                <w:sz w:val="24"/>
                <w:szCs w:val="24"/>
              </w:rPr>
              <w:t xml:space="preserve">John Cowling </w:t>
            </w:r>
            <w:r w:rsidR="00864B29">
              <w:rPr>
                <w:sz w:val="24"/>
                <w:szCs w:val="24"/>
              </w:rPr>
              <w:t>(Chair)</w:t>
            </w:r>
            <w:r w:rsidR="00103702">
              <w:rPr>
                <w:sz w:val="24"/>
                <w:szCs w:val="24"/>
              </w:rPr>
              <w:t xml:space="preserve"> </w:t>
            </w:r>
          </w:p>
        </w:tc>
        <w:tc>
          <w:tcPr>
            <w:tcW w:w="4962" w:type="dxa"/>
            <w:gridSpan w:val="2"/>
            <w:tcBorders>
              <w:top w:val="single" w:sz="4" w:space="0" w:color="auto"/>
            </w:tcBorders>
          </w:tcPr>
          <w:p w14:paraId="30089F4C" w14:textId="509910E4" w:rsidR="00864B29" w:rsidRPr="008A753B" w:rsidRDefault="00B90E01" w:rsidP="00864B29">
            <w:pPr>
              <w:spacing w:before="60"/>
              <w:rPr>
                <w:sz w:val="24"/>
                <w:szCs w:val="24"/>
              </w:rPr>
            </w:pPr>
            <w:r>
              <w:rPr>
                <w:sz w:val="24"/>
                <w:szCs w:val="24"/>
              </w:rPr>
              <w:t xml:space="preserve">Lord Kerslake </w:t>
            </w:r>
          </w:p>
        </w:tc>
      </w:tr>
      <w:tr w:rsidR="00103702" w:rsidRPr="008A753B" w14:paraId="390C3619" w14:textId="77777777" w:rsidTr="3A98BE57">
        <w:tc>
          <w:tcPr>
            <w:tcW w:w="5245" w:type="dxa"/>
          </w:tcPr>
          <w:p w14:paraId="2E0B4B40" w14:textId="40387625" w:rsidR="00103702" w:rsidRDefault="00A93902" w:rsidP="00864B29">
            <w:pPr>
              <w:spacing w:before="60"/>
              <w:rPr>
                <w:sz w:val="24"/>
                <w:szCs w:val="24"/>
              </w:rPr>
            </w:pPr>
            <w:r>
              <w:rPr>
                <w:sz w:val="24"/>
                <w:szCs w:val="24"/>
              </w:rPr>
              <w:t>Carol Bernard</w:t>
            </w:r>
          </w:p>
        </w:tc>
        <w:tc>
          <w:tcPr>
            <w:tcW w:w="4962" w:type="dxa"/>
            <w:gridSpan w:val="2"/>
          </w:tcPr>
          <w:p w14:paraId="0252AEE5" w14:textId="5B1609D1" w:rsidR="00103702" w:rsidRDefault="00A93902" w:rsidP="00864B29">
            <w:pPr>
              <w:spacing w:before="60"/>
              <w:rPr>
                <w:sz w:val="24"/>
                <w:szCs w:val="24"/>
              </w:rPr>
            </w:pPr>
            <w:r>
              <w:rPr>
                <w:sz w:val="24"/>
                <w:szCs w:val="24"/>
              </w:rPr>
              <w:t>Meg Munn</w:t>
            </w:r>
          </w:p>
        </w:tc>
      </w:tr>
      <w:tr w:rsidR="00B90E01" w:rsidRPr="008A753B" w14:paraId="1B723133" w14:textId="77777777" w:rsidTr="3A98BE57">
        <w:tc>
          <w:tcPr>
            <w:tcW w:w="5245" w:type="dxa"/>
          </w:tcPr>
          <w:p w14:paraId="25434675" w14:textId="6D1BBCEE" w:rsidR="00B90E01" w:rsidRDefault="00B90E01" w:rsidP="00864B29">
            <w:pPr>
              <w:spacing w:before="60"/>
              <w:rPr>
                <w:sz w:val="24"/>
                <w:szCs w:val="24"/>
              </w:rPr>
            </w:pPr>
            <w:r>
              <w:rPr>
                <w:sz w:val="24"/>
                <w:szCs w:val="24"/>
              </w:rPr>
              <w:t>Gabrielle Berring</w:t>
            </w:r>
          </w:p>
        </w:tc>
        <w:tc>
          <w:tcPr>
            <w:tcW w:w="4962" w:type="dxa"/>
            <w:gridSpan w:val="2"/>
          </w:tcPr>
          <w:p w14:paraId="20F2BE10" w14:textId="2B3DE152" w:rsidR="00B90E01" w:rsidRDefault="00B90E01" w:rsidP="00864B29">
            <w:pPr>
              <w:spacing w:before="60"/>
              <w:rPr>
                <w:sz w:val="24"/>
                <w:szCs w:val="24"/>
              </w:rPr>
            </w:pPr>
            <w:r>
              <w:rPr>
                <w:sz w:val="24"/>
                <w:szCs w:val="24"/>
              </w:rPr>
              <w:t>Janet Onyia</w:t>
            </w:r>
          </w:p>
        </w:tc>
      </w:tr>
      <w:tr w:rsidR="00864B29" w:rsidRPr="008A753B" w14:paraId="50C624E2" w14:textId="77777777" w:rsidTr="3A98BE57">
        <w:tc>
          <w:tcPr>
            <w:tcW w:w="5245" w:type="dxa"/>
          </w:tcPr>
          <w:p w14:paraId="16CD5789" w14:textId="58DAF0D2" w:rsidR="005F0DC5" w:rsidRPr="008A753B" w:rsidRDefault="00A93902" w:rsidP="00864B29">
            <w:pPr>
              <w:spacing w:before="60"/>
              <w:rPr>
                <w:sz w:val="24"/>
                <w:szCs w:val="24"/>
              </w:rPr>
            </w:pPr>
            <w:r>
              <w:rPr>
                <w:sz w:val="24"/>
                <w:szCs w:val="24"/>
              </w:rPr>
              <w:t>Professor Sir Chris Husbands</w:t>
            </w:r>
            <w:r w:rsidR="001A5DAA">
              <w:rPr>
                <w:sz w:val="24"/>
                <w:szCs w:val="24"/>
              </w:rPr>
              <w:t xml:space="preserve"> (up to 1700)</w:t>
            </w:r>
          </w:p>
        </w:tc>
        <w:tc>
          <w:tcPr>
            <w:tcW w:w="4962" w:type="dxa"/>
            <w:gridSpan w:val="2"/>
          </w:tcPr>
          <w:p w14:paraId="5EA3E647" w14:textId="4A6066D7" w:rsidR="00864B29" w:rsidRPr="008A753B" w:rsidRDefault="00103702" w:rsidP="00864B29">
            <w:pPr>
              <w:spacing w:before="60"/>
              <w:rPr>
                <w:sz w:val="24"/>
                <w:szCs w:val="24"/>
              </w:rPr>
            </w:pPr>
            <w:r>
              <w:rPr>
                <w:sz w:val="24"/>
                <w:szCs w:val="24"/>
              </w:rPr>
              <w:t>Giles Searby</w:t>
            </w:r>
          </w:p>
        </w:tc>
      </w:tr>
      <w:tr w:rsidR="00864B29" w:rsidRPr="008A753B" w14:paraId="70E71BC7" w14:textId="77777777" w:rsidTr="3A98BE57">
        <w:tc>
          <w:tcPr>
            <w:tcW w:w="8506" w:type="dxa"/>
            <w:gridSpan w:val="2"/>
            <w:tcBorders>
              <w:top w:val="single" w:sz="4" w:space="0" w:color="auto"/>
              <w:bottom w:val="single" w:sz="4" w:space="0" w:color="auto"/>
            </w:tcBorders>
          </w:tcPr>
          <w:p w14:paraId="2F93DFFE" w14:textId="50E90104" w:rsidR="00864B29" w:rsidRPr="008A753B" w:rsidRDefault="00864B29" w:rsidP="00864B29">
            <w:pPr>
              <w:pStyle w:val="Heading2"/>
            </w:pPr>
            <w:r w:rsidRPr="008A753B">
              <w:t>IN ATTE</w:t>
            </w:r>
            <w:r>
              <w:t>N</w:t>
            </w:r>
            <w:r w:rsidRPr="008A753B">
              <w:t>DANCE:</w:t>
            </w:r>
          </w:p>
        </w:tc>
        <w:tc>
          <w:tcPr>
            <w:tcW w:w="1701" w:type="dxa"/>
            <w:tcBorders>
              <w:top w:val="single" w:sz="4" w:space="0" w:color="auto"/>
              <w:bottom w:val="single" w:sz="4" w:space="0" w:color="auto"/>
            </w:tcBorders>
          </w:tcPr>
          <w:p w14:paraId="5704DEE0" w14:textId="34F6391B" w:rsidR="00864B29" w:rsidRPr="008A753B" w:rsidRDefault="00864B29" w:rsidP="00864B29">
            <w:pPr>
              <w:pStyle w:val="Heading2"/>
            </w:pPr>
            <w:r w:rsidRPr="008A753B">
              <w:t>AGENDA ITEM</w:t>
            </w:r>
          </w:p>
        </w:tc>
      </w:tr>
      <w:tr w:rsidR="00864B29" w:rsidRPr="008A753B" w14:paraId="792E0B0F" w14:textId="77777777" w:rsidTr="3A98BE57">
        <w:trPr>
          <w:trHeight w:val="273"/>
        </w:trPr>
        <w:tc>
          <w:tcPr>
            <w:tcW w:w="8506" w:type="dxa"/>
            <w:gridSpan w:val="2"/>
            <w:tcBorders>
              <w:top w:val="single" w:sz="4" w:space="0" w:color="auto"/>
            </w:tcBorders>
          </w:tcPr>
          <w:p w14:paraId="1B475B60" w14:textId="3E83ACA3" w:rsidR="00864B29" w:rsidRPr="008A753B" w:rsidRDefault="00864B29" w:rsidP="00864B29">
            <w:pPr>
              <w:spacing w:before="60" w:after="60"/>
              <w:rPr>
                <w:sz w:val="24"/>
                <w:szCs w:val="24"/>
              </w:rPr>
            </w:pPr>
            <w:r>
              <w:rPr>
                <w:sz w:val="24"/>
                <w:szCs w:val="24"/>
              </w:rPr>
              <w:t>Richard Calvert</w:t>
            </w:r>
            <w:r w:rsidR="00A71EDF">
              <w:rPr>
                <w:sz w:val="24"/>
                <w:szCs w:val="24"/>
              </w:rPr>
              <w:t>,</w:t>
            </w:r>
            <w:r w:rsidR="005F0DC5">
              <w:rPr>
                <w:sz w:val="24"/>
                <w:szCs w:val="24"/>
              </w:rPr>
              <w:t xml:space="preserve"> Deputy Vice-Chancellor</w:t>
            </w:r>
            <w:r w:rsidR="00940F40">
              <w:rPr>
                <w:sz w:val="24"/>
                <w:szCs w:val="24"/>
              </w:rPr>
              <w:t xml:space="preserve">, </w:t>
            </w:r>
            <w:r w:rsidR="005F0DC5">
              <w:rPr>
                <w:sz w:val="24"/>
                <w:szCs w:val="24"/>
              </w:rPr>
              <w:t>Strategy a</w:t>
            </w:r>
            <w:r w:rsidR="00940F40">
              <w:rPr>
                <w:sz w:val="24"/>
                <w:szCs w:val="24"/>
              </w:rPr>
              <w:t>nd</w:t>
            </w:r>
            <w:r w:rsidR="005F0DC5">
              <w:rPr>
                <w:sz w:val="24"/>
                <w:szCs w:val="24"/>
              </w:rPr>
              <w:t xml:space="preserve"> Operations</w:t>
            </w:r>
            <w:r w:rsidR="00940F40">
              <w:rPr>
                <w:sz w:val="24"/>
                <w:szCs w:val="24"/>
              </w:rPr>
              <w:t xml:space="preserve"> (DVCSO)</w:t>
            </w:r>
          </w:p>
        </w:tc>
        <w:tc>
          <w:tcPr>
            <w:tcW w:w="1701" w:type="dxa"/>
            <w:tcBorders>
              <w:top w:val="single" w:sz="4" w:space="0" w:color="auto"/>
            </w:tcBorders>
          </w:tcPr>
          <w:p w14:paraId="1B89311E" w14:textId="42ACA7F8" w:rsidR="00864B29" w:rsidRPr="008A753B" w:rsidRDefault="00A93902" w:rsidP="00864B29">
            <w:pPr>
              <w:spacing w:before="60" w:after="60"/>
              <w:rPr>
                <w:sz w:val="24"/>
                <w:szCs w:val="24"/>
              </w:rPr>
            </w:pPr>
            <w:r>
              <w:rPr>
                <w:sz w:val="24"/>
                <w:szCs w:val="24"/>
              </w:rPr>
              <w:t>All</w:t>
            </w:r>
          </w:p>
        </w:tc>
      </w:tr>
      <w:tr w:rsidR="00103702" w:rsidRPr="008A753B" w14:paraId="7AEDBEB6" w14:textId="77777777" w:rsidTr="3A98BE57">
        <w:trPr>
          <w:trHeight w:val="148"/>
        </w:trPr>
        <w:tc>
          <w:tcPr>
            <w:tcW w:w="8506" w:type="dxa"/>
            <w:gridSpan w:val="2"/>
          </w:tcPr>
          <w:p w14:paraId="1D3F65F6" w14:textId="31319085" w:rsidR="00103702" w:rsidRDefault="00103702" w:rsidP="00103702">
            <w:pPr>
              <w:spacing w:before="60" w:after="60"/>
              <w:rPr>
                <w:sz w:val="24"/>
                <w:szCs w:val="24"/>
              </w:rPr>
            </w:pPr>
            <w:r>
              <w:rPr>
                <w:sz w:val="24"/>
                <w:szCs w:val="24"/>
              </w:rPr>
              <w:t>Dr Sally Jackson, Chief People Officer, Pro Vice-Chancellor (Diversity &amp; Inclusion)</w:t>
            </w:r>
          </w:p>
        </w:tc>
        <w:tc>
          <w:tcPr>
            <w:tcW w:w="1701" w:type="dxa"/>
          </w:tcPr>
          <w:p w14:paraId="24375CBF" w14:textId="1C3E85F1" w:rsidR="00103702" w:rsidRDefault="00103702" w:rsidP="00103702">
            <w:pPr>
              <w:spacing w:before="60" w:after="60"/>
              <w:rPr>
                <w:sz w:val="24"/>
                <w:szCs w:val="24"/>
              </w:rPr>
            </w:pPr>
            <w:r>
              <w:rPr>
                <w:sz w:val="24"/>
                <w:szCs w:val="24"/>
              </w:rPr>
              <w:t>All</w:t>
            </w:r>
          </w:p>
        </w:tc>
      </w:tr>
      <w:tr w:rsidR="009A3A41" w:rsidRPr="008A753B" w14:paraId="58F7750F" w14:textId="77777777" w:rsidTr="3A98BE57">
        <w:tc>
          <w:tcPr>
            <w:tcW w:w="8506" w:type="dxa"/>
            <w:gridSpan w:val="2"/>
          </w:tcPr>
          <w:p w14:paraId="0C1788E7" w14:textId="7A831C87" w:rsidR="009A3A41" w:rsidRPr="008A753B" w:rsidRDefault="009A3A41" w:rsidP="009A3A41">
            <w:pPr>
              <w:spacing w:before="60" w:after="60"/>
              <w:rPr>
                <w:sz w:val="24"/>
                <w:szCs w:val="24"/>
              </w:rPr>
            </w:pPr>
            <w:r>
              <w:rPr>
                <w:sz w:val="24"/>
                <w:szCs w:val="24"/>
              </w:rPr>
              <w:t>Ryan Keyworth, Chief Finance Officer (CFO)</w:t>
            </w:r>
          </w:p>
        </w:tc>
        <w:tc>
          <w:tcPr>
            <w:tcW w:w="1701" w:type="dxa"/>
          </w:tcPr>
          <w:p w14:paraId="7DEBC527" w14:textId="12EA5245" w:rsidR="009A3A41" w:rsidRPr="008A753B" w:rsidRDefault="009A3A41" w:rsidP="009A3A41">
            <w:pPr>
              <w:spacing w:before="60" w:after="60"/>
              <w:rPr>
                <w:sz w:val="24"/>
                <w:szCs w:val="24"/>
              </w:rPr>
            </w:pPr>
            <w:r>
              <w:rPr>
                <w:sz w:val="24"/>
                <w:szCs w:val="24"/>
              </w:rPr>
              <w:t>All</w:t>
            </w:r>
          </w:p>
        </w:tc>
      </w:tr>
      <w:tr w:rsidR="009A3A41" w:rsidRPr="008A753B" w14:paraId="33B0B93C" w14:textId="77777777" w:rsidTr="3A98BE57">
        <w:tc>
          <w:tcPr>
            <w:tcW w:w="8506" w:type="dxa"/>
            <w:gridSpan w:val="2"/>
          </w:tcPr>
          <w:p w14:paraId="693EE68D" w14:textId="441EA07A" w:rsidR="009A3A41" w:rsidRPr="008A753B" w:rsidRDefault="009A3A41" w:rsidP="009A3A41">
            <w:pPr>
              <w:spacing w:before="60" w:after="60"/>
              <w:rPr>
                <w:sz w:val="24"/>
                <w:szCs w:val="24"/>
              </w:rPr>
            </w:pPr>
            <w:r>
              <w:rPr>
                <w:sz w:val="24"/>
                <w:szCs w:val="24"/>
              </w:rPr>
              <w:t xml:space="preserve">Clair Marlow, Head of Legal Services and Deputy University Secretary </w:t>
            </w:r>
          </w:p>
        </w:tc>
        <w:tc>
          <w:tcPr>
            <w:tcW w:w="1701" w:type="dxa"/>
          </w:tcPr>
          <w:p w14:paraId="2D1FB007" w14:textId="65FF441B" w:rsidR="009A3A41" w:rsidRPr="008A753B" w:rsidRDefault="009A3A41" w:rsidP="009A3A41">
            <w:pPr>
              <w:spacing w:before="60" w:after="60"/>
              <w:rPr>
                <w:sz w:val="24"/>
                <w:szCs w:val="24"/>
              </w:rPr>
            </w:pPr>
            <w:r>
              <w:rPr>
                <w:sz w:val="24"/>
                <w:szCs w:val="24"/>
              </w:rPr>
              <w:t>All</w:t>
            </w:r>
          </w:p>
        </w:tc>
      </w:tr>
      <w:tr w:rsidR="009A3A41" w:rsidRPr="008A753B" w14:paraId="60FB8CF6" w14:textId="77777777" w:rsidTr="3A98BE57">
        <w:tc>
          <w:tcPr>
            <w:tcW w:w="8506" w:type="dxa"/>
            <w:gridSpan w:val="2"/>
          </w:tcPr>
          <w:p w14:paraId="7F3EBA87" w14:textId="60EAAA92" w:rsidR="009A3A41" w:rsidRDefault="009A3A41" w:rsidP="009A3A41">
            <w:pPr>
              <w:spacing w:before="60" w:after="60"/>
              <w:rPr>
                <w:sz w:val="24"/>
                <w:szCs w:val="24"/>
              </w:rPr>
            </w:pPr>
            <w:r>
              <w:rPr>
                <w:sz w:val="24"/>
                <w:szCs w:val="24"/>
              </w:rPr>
              <w:t>Professor David Shepherd, Deputy Vice-Chancellor</w:t>
            </w:r>
            <w:r w:rsidR="006B6B49">
              <w:rPr>
                <w:sz w:val="24"/>
                <w:szCs w:val="24"/>
              </w:rPr>
              <w:t xml:space="preserve"> (DVC)</w:t>
            </w:r>
            <w:r>
              <w:rPr>
                <w:sz w:val="24"/>
                <w:szCs w:val="24"/>
              </w:rPr>
              <w:t>, Academic</w:t>
            </w:r>
          </w:p>
        </w:tc>
        <w:tc>
          <w:tcPr>
            <w:tcW w:w="1701" w:type="dxa"/>
          </w:tcPr>
          <w:p w14:paraId="2486C335" w14:textId="416ACD93" w:rsidR="009A3A41" w:rsidRDefault="009A3A41" w:rsidP="009A3A41">
            <w:pPr>
              <w:spacing w:before="60" w:after="60"/>
              <w:rPr>
                <w:sz w:val="24"/>
                <w:szCs w:val="24"/>
              </w:rPr>
            </w:pPr>
            <w:r>
              <w:rPr>
                <w:sz w:val="24"/>
                <w:szCs w:val="24"/>
              </w:rPr>
              <w:t xml:space="preserve">All </w:t>
            </w:r>
          </w:p>
        </w:tc>
      </w:tr>
      <w:tr w:rsidR="009A3A41" w:rsidRPr="008A753B" w14:paraId="2ABABB21" w14:textId="77777777" w:rsidTr="3A98BE57">
        <w:tc>
          <w:tcPr>
            <w:tcW w:w="8506" w:type="dxa"/>
            <w:gridSpan w:val="2"/>
          </w:tcPr>
          <w:p w14:paraId="47EE1CA3" w14:textId="4EF2FEB9" w:rsidR="009A3A41" w:rsidRPr="008A753B" w:rsidRDefault="009A3A41" w:rsidP="009A3A41">
            <w:pPr>
              <w:spacing w:before="60" w:after="60"/>
              <w:rPr>
                <w:sz w:val="24"/>
                <w:szCs w:val="24"/>
              </w:rPr>
            </w:pPr>
            <w:r>
              <w:rPr>
                <w:sz w:val="24"/>
                <w:szCs w:val="24"/>
              </w:rPr>
              <w:t xml:space="preserve">Ruth Thei, Head of Governance and Sector Regulation </w:t>
            </w:r>
          </w:p>
        </w:tc>
        <w:tc>
          <w:tcPr>
            <w:tcW w:w="1701" w:type="dxa"/>
          </w:tcPr>
          <w:p w14:paraId="14CD802B" w14:textId="465CBB09" w:rsidR="009A3A41" w:rsidRPr="008A753B" w:rsidRDefault="009A3A41" w:rsidP="009A3A41">
            <w:pPr>
              <w:spacing w:before="60" w:after="60"/>
              <w:rPr>
                <w:sz w:val="24"/>
                <w:szCs w:val="24"/>
              </w:rPr>
            </w:pPr>
            <w:r>
              <w:rPr>
                <w:sz w:val="24"/>
                <w:szCs w:val="24"/>
              </w:rPr>
              <w:t xml:space="preserve">All </w:t>
            </w:r>
          </w:p>
        </w:tc>
      </w:tr>
      <w:tr w:rsidR="009A3A41" w:rsidRPr="008A753B" w14:paraId="6EE17534" w14:textId="77777777" w:rsidTr="3A98BE57">
        <w:tc>
          <w:tcPr>
            <w:tcW w:w="8506" w:type="dxa"/>
            <w:gridSpan w:val="2"/>
          </w:tcPr>
          <w:p w14:paraId="3D5C4872" w14:textId="51FACF6C" w:rsidR="009A3A41" w:rsidRPr="008A753B" w:rsidRDefault="0D269C3B" w:rsidP="009A3A41">
            <w:pPr>
              <w:tabs>
                <w:tab w:val="left" w:pos="5890"/>
              </w:tabs>
              <w:spacing w:before="60" w:after="60"/>
              <w:rPr>
                <w:sz w:val="24"/>
                <w:szCs w:val="24"/>
              </w:rPr>
            </w:pPr>
            <w:r w:rsidRPr="3A98BE57">
              <w:rPr>
                <w:sz w:val="24"/>
                <w:szCs w:val="24"/>
              </w:rPr>
              <w:t>Libby Wilson, Group Director, Infrastructure and Change</w:t>
            </w:r>
            <w:r w:rsidR="49D28C16" w:rsidRPr="3A98BE57">
              <w:rPr>
                <w:sz w:val="24"/>
                <w:szCs w:val="24"/>
              </w:rPr>
              <w:t xml:space="preserve"> (GD</w:t>
            </w:r>
            <w:r w:rsidR="22174F75" w:rsidRPr="3A98BE57">
              <w:rPr>
                <w:sz w:val="24"/>
                <w:szCs w:val="24"/>
              </w:rPr>
              <w:t>I&amp;</w:t>
            </w:r>
            <w:r w:rsidR="46F27FA0" w:rsidRPr="3A98BE57">
              <w:rPr>
                <w:sz w:val="24"/>
                <w:szCs w:val="24"/>
              </w:rPr>
              <w:t>C)</w:t>
            </w:r>
          </w:p>
        </w:tc>
        <w:tc>
          <w:tcPr>
            <w:tcW w:w="1701" w:type="dxa"/>
          </w:tcPr>
          <w:p w14:paraId="18542378" w14:textId="07637213" w:rsidR="009A3A41" w:rsidRPr="008A753B" w:rsidRDefault="009A3A41" w:rsidP="009A3A41">
            <w:pPr>
              <w:spacing w:before="60" w:after="60"/>
              <w:rPr>
                <w:sz w:val="24"/>
                <w:szCs w:val="24"/>
              </w:rPr>
            </w:pPr>
            <w:r>
              <w:rPr>
                <w:sz w:val="24"/>
                <w:szCs w:val="24"/>
              </w:rPr>
              <w:t>Items 7 and 8</w:t>
            </w:r>
          </w:p>
        </w:tc>
      </w:tr>
      <w:tr w:rsidR="009A3A41" w:rsidRPr="008A753B" w14:paraId="1EE88C2D" w14:textId="77777777" w:rsidTr="3A98BE57">
        <w:trPr>
          <w:trHeight w:val="262"/>
        </w:trPr>
        <w:tc>
          <w:tcPr>
            <w:tcW w:w="10207" w:type="dxa"/>
            <w:gridSpan w:val="3"/>
            <w:tcBorders>
              <w:top w:val="single" w:sz="4" w:space="0" w:color="auto"/>
              <w:bottom w:val="single" w:sz="4" w:space="0" w:color="auto"/>
            </w:tcBorders>
          </w:tcPr>
          <w:p w14:paraId="45E936CF" w14:textId="352628F3" w:rsidR="009A3A41" w:rsidRPr="008A753B" w:rsidRDefault="009A3A41" w:rsidP="009A3A41">
            <w:pPr>
              <w:pStyle w:val="Heading2"/>
            </w:pPr>
            <w:r w:rsidRPr="008A753B">
              <w:t xml:space="preserve">APOLOGIES: </w:t>
            </w:r>
            <w:r>
              <w:rPr>
                <w:b w:val="0"/>
                <w:bCs/>
                <w:szCs w:val="24"/>
              </w:rPr>
              <w:t>There were no apologies.</w:t>
            </w:r>
          </w:p>
        </w:tc>
      </w:tr>
    </w:tbl>
    <w:p w14:paraId="2B637C90" w14:textId="207E3F35" w:rsidR="0000042C" w:rsidRPr="008A753B" w:rsidRDefault="0000042C" w:rsidP="00CF367D">
      <w:pPr>
        <w:spacing w:after="0" w:line="240" w:lineRule="auto"/>
        <w:rPr>
          <w:sz w:val="24"/>
          <w:szCs w:val="24"/>
        </w:rPr>
      </w:pPr>
    </w:p>
    <w:tbl>
      <w:tblPr>
        <w:tblStyle w:val="TableGrid"/>
        <w:tblW w:w="10207" w:type="dxa"/>
        <w:tblInd w:w="-426"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6663"/>
        <w:gridCol w:w="1984"/>
      </w:tblGrid>
      <w:tr w:rsidR="008A753B" w:rsidRPr="008A753B" w14:paraId="126299E9" w14:textId="77777777" w:rsidTr="3A98BE57">
        <w:tc>
          <w:tcPr>
            <w:tcW w:w="1560" w:type="dxa"/>
            <w:tcBorders>
              <w:top w:val="single" w:sz="4" w:space="0" w:color="auto"/>
              <w:bottom w:val="single" w:sz="4" w:space="0" w:color="auto"/>
            </w:tcBorders>
            <w:shd w:val="clear" w:color="auto" w:fill="auto"/>
          </w:tcPr>
          <w:p w14:paraId="720093AE" w14:textId="26B979A0" w:rsidR="00392682" w:rsidRPr="002D430D" w:rsidRDefault="009C5532" w:rsidP="000C3EDD">
            <w:pPr>
              <w:pStyle w:val="Heading2"/>
            </w:pPr>
            <w:r w:rsidRPr="002D430D">
              <w:t>Minute Ref</w:t>
            </w:r>
          </w:p>
        </w:tc>
        <w:tc>
          <w:tcPr>
            <w:tcW w:w="6663" w:type="dxa"/>
            <w:tcBorders>
              <w:top w:val="single" w:sz="4" w:space="0" w:color="auto"/>
              <w:bottom w:val="single" w:sz="4" w:space="0" w:color="auto"/>
            </w:tcBorders>
            <w:shd w:val="clear" w:color="auto" w:fill="auto"/>
          </w:tcPr>
          <w:p w14:paraId="5DE4EB3E" w14:textId="77777777" w:rsidR="00392682" w:rsidRPr="002D430D" w:rsidRDefault="00392682" w:rsidP="000C3EDD">
            <w:pPr>
              <w:pStyle w:val="Heading2"/>
            </w:pPr>
            <w:r w:rsidRPr="002D430D">
              <w:t>Item of Business</w:t>
            </w:r>
          </w:p>
        </w:tc>
        <w:tc>
          <w:tcPr>
            <w:tcW w:w="1984" w:type="dxa"/>
            <w:tcBorders>
              <w:top w:val="single" w:sz="4" w:space="0" w:color="auto"/>
              <w:bottom w:val="single" w:sz="4" w:space="0" w:color="auto"/>
            </w:tcBorders>
            <w:shd w:val="clear" w:color="auto" w:fill="auto"/>
          </w:tcPr>
          <w:p w14:paraId="4A1B3F92" w14:textId="3A749D0B" w:rsidR="00392682" w:rsidRPr="002D430D" w:rsidRDefault="009C5532" w:rsidP="000C3EDD">
            <w:pPr>
              <w:pStyle w:val="Heading2"/>
              <w:jc w:val="right"/>
            </w:pPr>
            <w:r w:rsidRPr="002D430D">
              <w:t xml:space="preserve">Paper Ref </w:t>
            </w:r>
          </w:p>
        </w:tc>
      </w:tr>
      <w:tr w:rsidR="008A753B" w:rsidRPr="008A753B" w14:paraId="1F67B079" w14:textId="77777777" w:rsidTr="3A98BE57">
        <w:trPr>
          <w:cantSplit/>
        </w:trPr>
        <w:tc>
          <w:tcPr>
            <w:tcW w:w="1560" w:type="dxa"/>
            <w:tcBorders>
              <w:top w:val="single" w:sz="4" w:space="0" w:color="auto"/>
              <w:bottom w:val="single" w:sz="4" w:space="0" w:color="auto"/>
            </w:tcBorders>
            <w:shd w:val="clear" w:color="auto" w:fill="D9D9D9" w:themeFill="background1" w:themeFillShade="D9"/>
          </w:tcPr>
          <w:p w14:paraId="5DCDC578" w14:textId="336E515D" w:rsidR="00022310" w:rsidRPr="00A85DEC" w:rsidRDefault="0037008C" w:rsidP="00172CB8">
            <w:pPr>
              <w:pStyle w:val="Heading3"/>
              <w:spacing w:before="60" w:after="60"/>
              <w:ind w:left="-106" w:right="-108"/>
              <w:rPr>
                <w:sz w:val="20"/>
                <w:szCs w:val="20"/>
              </w:rPr>
            </w:pPr>
            <w:r>
              <w:t>FEC/</w:t>
            </w:r>
            <w:r w:rsidR="0066126F">
              <w:t>2023-05-03</w:t>
            </w:r>
            <w:r w:rsidR="005A7B0B">
              <w:t>/</w:t>
            </w:r>
            <w:r>
              <w:t>1</w:t>
            </w:r>
          </w:p>
        </w:tc>
        <w:tc>
          <w:tcPr>
            <w:tcW w:w="6663" w:type="dxa"/>
            <w:tcBorders>
              <w:top w:val="single" w:sz="4" w:space="0" w:color="auto"/>
              <w:bottom w:val="single" w:sz="4" w:space="0" w:color="auto"/>
            </w:tcBorders>
            <w:shd w:val="clear" w:color="auto" w:fill="D9D9D9" w:themeFill="background1" w:themeFillShade="D9"/>
          </w:tcPr>
          <w:p w14:paraId="3A1D6C47" w14:textId="006F15FB" w:rsidR="00022310" w:rsidRPr="008A753B" w:rsidRDefault="00D40EE9" w:rsidP="00172CB8">
            <w:pPr>
              <w:pStyle w:val="Heading2"/>
            </w:pPr>
            <w:r w:rsidRPr="008A753B">
              <w:t>DECLARATIONS OF INTEREST</w:t>
            </w:r>
          </w:p>
        </w:tc>
        <w:tc>
          <w:tcPr>
            <w:tcW w:w="1984" w:type="dxa"/>
            <w:tcBorders>
              <w:top w:val="single" w:sz="4" w:space="0" w:color="auto"/>
              <w:bottom w:val="single" w:sz="4" w:space="0" w:color="auto"/>
            </w:tcBorders>
            <w:shd w:val="clear" w:color="auto" w:fill="D9D9D9" w:themeFill="background1" w:themeFillShade="D9"/>
          </w:tcPr>
          <w:p w14:paraId="58ED3719" w14:textId="77A9009D" w:rsidR="00022310" w:rsidRPr="008A753B" w:rsidRDefault="00022310" w:rsidP="00172CB8">
            <w:pPr>
              <w:spacing w:before="60" w:after="60"/>
              <w:rPr>
                <w:sz w:val="24"/>
                <w:szCs w:val="24"/>
              </w:rPr>
            </w:pPr>
          </w:p>
        </w:tc>
      </w:tr>
      <w:tr w:rsidR="008A753B" w:rsidRPr="008A753B" w14:paraId="42DADC77" w14:textId="77777777" w:rsidTr="3A98BE57">
        <w:tc>
          <w:tcPr>
            <w:tcW w:w="1560" w:type="dxa"/>
            <w:tcBorders>
              <w:top w:val="single" w:sz="4" w:space="0" w:color="auto"/>
              <w:bottom w:val="single" w:sz="4" w:space="0" w:color="auto"/>
            </w:tcBorders>
          </w:tcPr>
          <w:p w14:paraId="67E9C522" w14:textId="6D97050D" w:rsidR="00A84615" w:rsidRPr="008A753B" w:rsidRDefault="00392682" w:rsidP="000C3EDD">
            <w:pPr>
              <w:spacing w:before="60" w:after="60"/>
              <w:ind w:left="-106" w:right="-108"/>
              <w:rPr>
                <w:sz w:val="24"/>
                <w:szCs w:val="24"/>
              </w:rPr>
            </w:pPr>
            <w:r w:rsidRPr="008A753B">
              <w:rPr>
                <w:sz w:val="24"/>
                <w:szCs w:val="24"/>
              </w:rPr>
              <w:t>1</w:t>
            </w:r>
            <w:r w:rsidR="00A84615" w:rsidRPr="008A753B">
              <w:rPr>
                <w:sz w:val="24"/>
                <w:szCs w:val="24"/>
              </w:rPr>
              <w:t>.1</w:t>
            </w:r>
          </w:p>
        </w:tc>
        <w:tc>
          <w:tcPr>
            <w:tcW w:w="8647" w:type="dxa"/>
            <w:gridSpan w:val="2"/>
            <w:tcBorders>
              <w:top w:val="single" w:sz="4" w:space="0" w:color="auto"/>
              <w:bottom w:val="single" w:sz="4" w:space="0" w:color="auto"/>
            </w:tcBorders>
          </w:tcPr>
          <w:p w14:paraId="0E3C8584" w14:textId="5DFBDA12" w:rsidR="00C54F81" w:rsidRPr="008A753B" w:rsidRDefault="0037008C" w:rsidP="00810722">
            <w:pPr>
              <w:spacing w:before="60" w:after="60"/>
              <w:rPr>
                <w:sz w:val="24"/>
                <w:szCs w:val="24"/>
              </w:rPr>
            </w:pPr>
            <w:r>
              <w:rPr>
                <w:sz w:val="24"/>
                <w:szCs w:val="24"/>
              </w:rPr>
              <w:t>There were no declarations of interest.</w:t>
            </w:r>
          </w:p>
        </w:tc>
      </w:tr>
      <w:tr w:rsidR="003A56C1" w:rsidRPr="008A753B" w14:paraId="4118F7A3" w14:textId="77777777" w:rsidTr="3A98BE57">
        <w:tc>
          <w:tcPr>
            <w:tcW w:w="1560" w:type="dxa"/>
            <w:tcBorders>
              <w:top w:val="single" w:sz="4" w:space="0" w:color="auto"/>
              <w:bottom w:val="single" w:sz="4" w:space="0" w:color="auto"/>
            </w:tcBorders>
            <w:shd w:val="clear" w:color="auto" w:fill="D9D9D9" w:themeFill="background1" w:themeFillShade="D9"/>
          </w:tcPr>
          <w:p w14:paraId="0BDD9977" w14:textId="2C5A9540" w:rsidR="003A56C1" w:rsidRPr="003A56C1" w:rsidRDefault="0037008C" w:rsidP="00172CB8">
            <w:pPr>
              <w:pStyle w:val="Heading3"/>
              <w:spacing w:before="60" w:after="60"/>
              <w:ind w:left="-106" w:right="-108"/>
              <w:rPr>
                <w:sz w:val="20"/>
                <w:szCs w:val="20"/>
              </w:rPr>
            </w:pPr>
            <w:r>
              <w:t>FEC/</w:t>
            </w:r>
            <w:r w:rsidR="0066126F">
              <w:t>2023-05-03</w:t>
            </w:r>
            <w:r>
              <w:t>/2</w:t>
            </w:r>
          </w:p>
        </w:tc>
        <w:tc>
          <w:tcPr>
            <w:tcW w:w="6663" w:type="dxa"/>
            <w:tcBorders>
              <w:top w:val="single" w:sz="4" w:space="0" w:color="auto"/>
              <w:bottom w:val="single" w:sz="4" w:space="0" w:color="auto"/>
            </w:tcBorders>
            <w:shd w:val="clear" w:color="auto" w:fill="D9D9D9" w:themeFill="background1" w:themeFillShade="D9"/>
          </w:tcPr>
          <w:p w14:paraId="1BF4ED39" w14:textId="77510CF6" w:rsidR="004A27EA" w:rsidRPr="008A753B" w:rsidRDefault="00D40EE9" w:rsidP="00172CB8">
            <w:pPr>
              <w:pStyle w:val="Heading2"/>
            </w:pPr>
            <w:r w:rsidRPr="008A753B">
              <w:t xml:space="preserve">CHAIR’S BUSINESS </w:t>
            </w:r>
          </w:p>
        </w:tc>
        <w:tc>
          <w:tcPr>
            <w:tcW w:w="1984" w:type="dxa"/>
            <w:tcBorders>
              <w:top w:val="single" w:sz="4" w:space="0" w:color="auto"/>
              <w:bottom w:val="single" w:sz="4" w:space="0" w:color="auto"/>
            </w:tcBorders>
            <w:shd w:val="clear" w:color="auto" w:fill="D9D9D9" w:themeFill="background1" w:themeFillShade="D9"/>
          </w:tcPr>
          <w:p w14:paraId="56B0361E" w14:textId="77777777" w:rsidR="003A56C1" w:rsidRPr="003A56C1" w:rsidRDefault="003A56C1" w:rsidP="00172CB8">
            <w:pPr>
              <w:spacing w:before="60" w:after="60"/>
              <w:rPr>
                <w:sz w:val="20"/>
                <w:szCs w:val="20"/>
              </w:rPr>
            </w:pPr>
          </w:p>
        </w:tc>
      </w:tr>
      <w:tr w:rsidR="008A753B" w:rsidRPr="008A753B" w14:paraId="45E5AE98" w14:textId="77777777" w:rsidTr="3A98BE57">
        <w:tc>
          <w:tcPr>
            <w:tcW w:w="1560" w:type="dxa"/>
            <w:tcBorders>
              <w:top w:val="single" w:sz="4" w:space="0" w:color="auto"/>
              <w:bottom w:val="single" w:sz="4" w:space="0" w:color="auto"/>
            </w:tcBorders>
          </w:tcPr>
          <w:p w14:paraId="37B3F545" w14:textId="04C71F39" w:rsidR="00392682" w:rsidRPr="008A753B" w:rsidRDefault="003A56C1" w:rsidP="000C3EDD">
            <w:pPr>
              <w:spacing w:before="60" w:after="60"/>
              <w:ind w:left="-106" w:right="-108"/>
              <w:rPr>
                <w:sz w:val="24"/>
                <w:szCs w:val="24"/>
              </w:rPr>
            </w:pPr>
            <w:r>
              <w:rPr>
                <w:sz w:val="24"/>
                <w:szCs w:val="24"/>
              </w:rPr>
              <w:t>2</w:t>
            </w:r>
            <w:r w:rsidR="00392682" w:rsidRPr="008A753B">
              <w:rPr>
                <w:sz w:val="24"/>
                <w:szCs w:val="24"/>
              </w:rPr>
              <w:t>.1</w:t>
            </w:r>
          </w:p>
        </w:tc>
        <w:tc>
          <w:tcPr>
            <w:tcW w:w="8647" w:type="dxa"/>
            <w:gridSpan w:val="2"/>
            <w:tcBorders>
              <w:top w:val="single" w:sz="4" w:space="0" w:color="auto"/>
              <w:bottom w:val="single" w:sz="4" w:space="0" w:color="auto"/>
            </w:tcBorders>
          </w:tcPr>
          <w:p w14:paraId="0DD52B2A" w14:textId="6C43B305" w:rsidR="00395C89" w:rsidRPr="00B47C9B" w:rsidRDefault="00395C89" w:rsidP="00395C89">
            <w:pPr>
              <w:tabs>
                <w:tab w:val="left" w:pos="2980"/>
              </w:tabs>
              <w:spacing w:before="60" w:after="60"/>
              <w:rPr>
                <w:i/>
                <w:iCs/>
                <w:sz w:val="24"/>
                <w:szCs w:val="24"/>
              </w:rPr>
            </w:pPr>
            <w:r>
              <w:rPr>
                <w:sz w:val="24"/>
                <w:szCs w:val="24"/>
              </w:rPr>
              <w:t xml:space="preserve">The </w:t>
            </w:r>
            <w:r w:rsidR="00B90E01">
              <w:rPr>
                <w:sz w:val="24"/>
                <w:szCs w:val="24"/>
              </w:rPr>
              <w:t xml:space="preserve">DVC Academic </w:t>
            </w:r>
            <w:r w:rsidR="009A3A41">
              <w:rPr>
                <w:sz w:val="24"/>
                <w:szCs w:val="24"/>
              </w:rPr>
              <w:t>and the Head of Governance and Sector Regulation were</w:t>
            </w:r>
            <w:r>
              <w:rPr>
                <w:sz w:val="24"/>
                <w:szCs w:val="24"/>
              </w:rPr>
              <w:t xml:space="preserve"> welcomed to the meeting.</w:t>
            </w:r>
          </w:p>
        </w:tc>
      </w:tr>
      <w:tr w:rsidR="000C39A5" w:rsidRPr="008A753B" w14:paraId="641799F4" w14:textId="77777777" w:rsidTr="3A98BE57">
        <w:tc>
          <w:tcPr>
            <w:tcW w:w="1560" w:type="dxa"/>
            <w:tcBorders>
              <w:top w:val="single" w:sz="4" w:space="0" w:color="auto"/>
              <w:bottom w:val="single" w:sz="4" w:space="0" w:color="auto"/>
            </w:tcBorders>
            <w:shd w:val="clear" w:color="auto" w:fill="D9D9D9" w:themeFill="background1" w:themeFillShade="D9"/>
          </w:tcPr>
          <w:p w14:paraId="0E7498EC" w14:textId="25960899" w:rsidR="000C39A5" w:rsidRPr="00E94B92" w:rsidRDefault="0037008C" w:rsidP="00172CB8">
            <w:pPr>
              <w:pStyle w:val="Heading3"/>
              <w:spacing w:before="60" w:after="60"/>
              <w:ind w:left="-106" w:right="-108"/>
              <w:rPr>
                <w:sz w:val="20"/>
                <w:szCs w:val="20"/>
              </w:rPr>
            </w:pPr>
            <w:r>
              <w:t>FEC/</w:t>
            </w:r>
            <w:r w:rsidR="0066126F">
              <w:t>2023-05-03</w:t>
            </w:r>
            <w:r>
              <w:t>/3</w:t>
            </w:r>
          </w:p>
        </w:tc>
        <w:tc>
          <w:tcPr>
            <w:tcW w:w="6663" w:type="dxa"/>
            <w:tcBorders>
              <w:top w:val="single" w:sz="4" w:space="0" w:color="auto"/>
              <w:bottom w:val="single" w:sz="4" w:space="0" w:color="auto"/>
            </w:tcBorders>
            <w:shd w:val="clear" w:color="auto" w:fill="D9D9D9" w:themeFill="background1" w:themeFillShade="D9"/>
          </w:tcPr>
          <w:p w14:paraId="759A99DA" w14:textId="1902D22C" w:rsidR="000C39A5" w:rsidRPr="008A753B" w:rsidRDefault="00D40EE9" w:rsidP="00172CB8">
            <w:pPr>
              <w:pStyle w:val="Heading2"/>
            </w:pPr>
            <w:r w:rsidRPr="008A753B">
              <w:t>MINUTES OF THE PREVIOUS MEETING</w:t>
            </w:r>
            <w:r w:rsidR="00932A4E">
              <w:t>S</w:t>
            </w:r>
          </w:p>
        </w:tc>
        <w:tc>
          <w:tcPr>
            <w:tcW w:w="1984" w:type="dxa"/>
            <w:tcBorders>
              <w:top w:val="single" w:sz="4" w:space="0" w:color="auto"/>
              <w:bottom w:val="single" w:sz="4" w:space="0" w:color="auto"/>
            </w:tcBorders>
            <w:shd w:val="clear" w:color="auto" w:fill="D9D9D9" w:themeFill="background1" w:themeFillShade="D9"/>
          </w:tcPr>
          <w:p w14:paraId="628359C4" w14:textId="02583692" w:rsidR="000C39A5" w:rsidRPr="000D79CD" w:rsidRDefault="0037008C" w:rsidP="0037008C">
            <w:pPr>
              <w:pStyle w:val="Heading3"/>
              <w:spacing w:before="60" w:after="60"/>
              <w:ind w:left="-113" w:right="-109"/>
              <w:jc w:val="right"/>
              <w:rPr>
                <w:b/>
                <w:bCs/>
                <w:sz w:val="20"/>
                <w:szCs w:val="20"/>
                <w:highlight w:val="yellow"/>
              </w:rPr>
            </w:pPr>
            <w:r>
              <w:t>FEC</w:t>
            </w:r>
            <w:r w:rsidR="005A7B0B">
              <w:t>/</w:t>
            </w:r>
            <w:r w:rsidR="0066126F">
              <w:t>2023-05-03</w:t>
            </w:r>
            <w:r w:rsidR="005A7B0B">
              <w:t>/</w:t>
            </w:r>
            <w:r w:rsidR="00CC16EB">
              <w:t>P</w:t>
            </w:r>
            <w:r>
              <w:t>3</w:t>
            </w:r>
          </w:p>
        </w:tc>
      </w:tr>
      <w:tr w:rsidR="000C39A5" w:rsidRPr="008A753B" w14:paraId="55126A0E" w14:textId="77777777" w:rsidTr="3A98BE57">
        <w:tc>
          <w:tcPr>
            <w:tcW w:w="1560" w:type="dxa"/>
            <w:tcBorders>
              <w:top w:val="single" w:sz="4" w:space="0" w:color="auto"/>
              <w:bottom w:val="single" w:sz="4" w:space="0" w:color="auto"/>
            </w:tcBorders>
          </w:tcPr>
          <w:p w14:paraId="787A191A" w14:textId="7A6AC208" w:rsidR="000C39A5" w:rsidRPr="008A753B" w:rsidRDefault="000C39A5" w:rsidP="000C3EDD">
            <w:pPr>
              <w:spacing w:before="60" w:after="60"/>
              <w:ind w:left="-106" w:right="-108"/>
              <w:rPr>
                <w:sz w:val="24"/>
                <w:szCs w:val="24"/>
              </w:rPr>
            </w:pPr>
            <w:r w:rsidRPr="008A753B">
              <w:rPr>
                <w:sz w:val="24"/>
                <w:szCs w:val="24"/>
              </w:rPr>
              <w:t xml:space="preserve">3.1 </w:t>
            </w:r>
          </w:p>
        </w:tc>
        <w:tc>
          <w:tcPr>
            <w:tcW w:w="8647" w:type="dxa"/>
            <w:gridSpan w:val="2"/>
            <w:tcBorders>
              <w:top w:val="single" w:sz="4" w:space="0" w:color="auto"/>
              <w:bottom w:val="single" w:sz="4" w:space="0" w:color="auto"/>
            </w:tcBorders>
          </w:tcPr>
          <w:p w14:paraId="7F21F71F" w14:textId="0E8BD11E" w:rsidR="000C39A5" w:rsidRPr="00A26A10" w:rsidRDefault="00A60C4C" w:rsidP="00810722">
            <w:pPr>
              <w:spacing w:before="60" w:after="60"/>
              <w:rPr>
                <w:sz w:val="24"/>
                <w:szCs w:val="24"/>
              </w:rPr>
            </w:pPr>
            <w:r w:rsidRPr="00A26A10">
              <w:rPr>
                <w:sz w:val="24"/>
                <w:szCs w:val="24"/>
              </w:rPr>
              <w:t xml:space="preserve">The Committee </w:t>
            </w:r>
            <w:r w:rsidRPr="002E560D">
              <w:rPr>
                <w:b/>
                <w:bCs/>
                <w:sz w:val="24"/>
                <w:szCs w:val="24"/>
              </w:rPr>
              <w:t>approved</w:t>
            </w:r>
            <w:r w:rsidRPr="00A26A10">
              <w:rPr>
                <w:sz w:val="24"/>
                <w:szCs w:val="24"/>
              </w:rPr>
              <w:t xml:space="preserve"> the minutes (including the confidential minutes) of the meeting</w:t>
            </w:r>
            <w:r w:rsidR="00B47C9B">
              <w:rPr>
                <w:sz w:val="24"/>
                <w:szCs w:val="24"/>
              </w:rPr>
              <w:t>s</w:t>
            </w:r>
            <w:r w:rsidRPr="00A26A10">
              <w:rPr>
                <w:sz w:val="24"/>
                <w:szCs w:val="24"/>
              </w:rPr>
              <w:t xml:space="preserve"> held on </w:t>
            </w:r>
            <w:r w:rsidR="00B90E01">
              <w:rPr>
                <w:sz w:val="24"/>
                <w:szCs w:val="24"/>
              </w:rPr>
              <w:t>1 March</w:t>
            </w:r>
            <w:r w:rsidRPr="00A26A10">
              <w:rPr>
                <w:sz w:val="24"/>
                <w:szCs w:val="24"/>
              </w:rPr>
              <w:t xml:space="preserve"> 202</w:t>
            </w:r>
            <w:r w:rsidR="00B47C9B">
              <w:rPr>
                <w:sz w:val="24"/>
                <w:szCs w:val="24"/>
              </w:rPr>
              <w:t>3</w:t>
            </w:r>
            <w:r w:rsidRPr="00A26A10">
              <w:rPr>
                <w:sz w:val="24"/>
                <w:szCs w:val="24"/>
              </w:rPr>
              <w:t xml:space="preserve"> as an accurate record.</w:t>
            </w:r>
          </w:p>
        </w:tc>
      </w:tr>
      <w:tr w:rsidR="00CC16EB" w:rsidRPr="008A753B" w14:paraId="45842A65" w14:textId="77777777" w:rsidTr="3A98BE57">
        <w:trPr>
          <w:cantSplit/>
        </w:trPr>
        <w:tc>
          <w:tcPr>
            <w:tcW w:w="1560" w:type="dxa"/>
            <w:tcBorders>
              <w:top w:val="single" w:sz="4" w:space="0" w:color="auto"/>
              <w:bottom w:val="single" w:sz="4" w:space="0" w:color="auto"/>
            </w:tcBorders>
            <w:shd w:val="clear" w:color="auto" w:fill="D9D9D9" w:themeFill="background1" w:themeFillShade="D9"/>
          </w:tcPr>
          <w:p w14:paraId="2D23A7D6" w14:textId="5881125F" w:rsidR="00CC16EB" w:rsidRPr="00826269" w:rsidRDefault="0037008C" w:rsidP="00172CB8">
            <w:pPr>
              <w:pStyle w:val="Heading3"/>
              <w:spacing w:before="60" w:after="60"/>
              <w:ind w:left="-106" w:right="-108"/>
              <w:rPr>
                <w:sz w:val="20"/>
                <w:szCs w:val="20"/>
              </w:rPr>
            </w:pPr>
            <w:r>
              <w:t>FEC/</w:t>
            </w:r>
            <w:r w:rsidR="0066126F">
              <w:t>2023-05-03</w:t>
            </w:r>
            <w:r>
              <w:t>/4</w:t>
            </w:r>
          </w:p>
        </w:tc>
        <w:tc>
          <w:tcPr>
            <w:tcW w:w="6663" w:type="dxa"/>
            <w:tcBorders>
              <w:top w:val="single" w:sz="4" w:space="0" w:color="auto"/>
              <w:bottom w:val="single" w:sz="4" w:space="0" w:color="auto"/>
            </w:tcBorders>
            <w:shd w:val="clear" w:color="auto" w:fill="D9D9D9" w:themeFill="background1" w:themeFillShade="D9"/>
          </w:tcPr>
          <w:p w14:paraId="7C488714" w14:textId="12D152A9" w:rsidR="00CC16EB" w:rsidRPr="008A753B" w:rsidRDefault="00CC16EB" w:rsidP="00172CB8">
            <w:pPr>
              <w:pStyle w:val="Heading2"/>
            </w:pPr>
            <w:r w:rsidRPr="008A753B">
              <w:t>MATTERS ARISING</w:t>
            </w:r>
            <w:r w:rsidR="00993B93">
              <w:t xml:space="preserve"> AND ACTION TRACKER </w:t>
            </w:r>
          </w:p>
        </w:tc>
        <w:tc>
          <w:tcPr>
            <w:tcW w:w="1984" w:type="dxa"/>
            <w:tcBorders>
              <w:top w:val="single" w:sz="4" w:space="0" w:color="auto"/>
              <w:bottom w:val="single" w:sz="4" w:space="0" w:color="auto"/>
            </w:tcBorders>
            <w:shd w:val="clear" w:color="auto" w:fill="D9D9D9" w:themeFill="background1" w:themeFillShade="D9"/>
          </w:tcPr>
          <w:p w14:paraId="273208B1" w14:textId="2DE1BD59" w:rsidR="00CC16EB" w:rsidRPr="00CC16EB" w:rsidRDefault="0037008C" w:rsidP="0037008C">
            <w:pPr>
              <w:pStyle w:val="Heading3"/>
              <w:spacing w:before="60" w:after="60"/>
              <w:ind w:left="-113" w:right="-109"/>
              <w:jc w:val="right"/>
            </w:pPr>
            <w:r>
              <w:t>FEC/</w:t>
            </w:r>
            <w:r w:rsidR="0066126F">
              <w:t>2023-05-03</w:t>
            </w:r>
            <w:r>
              <w:t>/P4</w:t>
            </w:r>
          </w:p>
        </w:tc>
      </w:tr>
      <w:tr w:rsidR="00CC16EB" w:rsidRPr="008A753B" w14:paraId="127263CF" w14:textId="77777777" w:rsidTr="3A98BE57">
        <w:tc>
          <w:tcPr>
            <w:tcW w:w="1560" w:type="dxa"/>
            <w:tcBorders>
              <w:top w:val="single" w:sz="4" w:space="0" w:color="auto"/>
              <w:bottom w:val="single" w:sz="4" w:space="0" w:color="auto"/>
            </w:tcBorders>
          </w:tcPr>
          <w:p w14:paraId="7A5B3217" w14:textId="428ECD9D" w:rsidR="00CC16EB" w:rsidRPr="008A753B" w:rsidRDefault="00CC16EB" w:rsidP="000C3EDD">
            <w:pPr>
              <w:spacing w:before="60" w:after="60"/>
              <w:ind w:left="-106" w:right="-108"/>
              <w:rPr>
                <w:sz w:val="24"/>
                <w:szCs w:val="24"/>
              </w:rPr>
            </w:pPr>
            <w:r w:rsidRPr="008A753B">
              <w:rPr>
                <w:sz w:val="24"/>
                <w:szCs w:val="24"/>
              </w:rPr>
              <w:t>4.1</w:t>
            </w:r>
          </w:p>
        </w:tc>
        <w:tc>
          <w:tcPr>
            <w:tcW w:w="8647" w:type="dxa"/>
            <w:gridSpan w:val="2"/>
            <w:tcBorders>
              <w:top w:val="single" w:sz="4" w:space="0" w:color="auto"/>
              <w:bottom w:val="single" w:sz="4" w:space="0" w:color="auto"/>
            </w:tcBorders>
          </w:tcPr>
          <w:p w14:paraId="399F9F2B" w14:textId="0AD19263" w:rsidR="00197053" w:rsidRDefault="00197053" w:rsidP="00CC16EB">
            <w:pPr>
              <w:spacing w:before="60" w:after="60"/>
              <w:rPr>
                <w:sz w:val="24"/>
                <w:szCs w:val="24"/>
              </w:rPr>
            </w:pPr>
            <w:bookmarkStart w:id="0" w:name="_Hlk118985643"/>
            <w:r>
              <w:rPr>
                <w:sz w:val="24"/>
                <w:szCs w:val="24"/>
              </w:rPr>
              <w:t xml:space="preserve">The following matter arising </w:t>
            </w:r>
            <w:r w:rsidR="0066126F">
              <w:rPr>
                <w:sz w:val="24"/>
                <w:szCs w:val="24"/>
              </w:rPr>
              <w:t>was</w:t>
            </w:r>
            <w:r>
              <w:rPr>
                <w:sz w:val="24"/>
                <w:szCs w:val="24"/>
              </w:rPr>
              <w:t xml:space="preserve"> noted:</w:t>
            </w:r>
          </w:p>
          <w:bookmarkEnd w:id="0"/>
          <w:p w14:paraId="179D8E8D" w14:textId="5972A17C" w:rsidR="007B63DA" w:rsidRPr="00C05B76" w:rsidRDefault="009A3A41" w:rsidP="00C05B76">
            <w:pPr>
              <w:pStyle w:val="ListParagraph"/>
              <w:numPr>
                <w:ilvl w:val="0"/>
                <w:numId w:val="1"/>
              </w:numPr>
              <w:tabs>
                <w:tab w:val="left" w:pos="720"/>
                <w:tab w:val="right" w:pos="9000"/>
              </w:tabs>
              <w:spacing w:after="60"/>
              <w:ind w:left="357" w:hanging="357"/>
              <w:rPr>
                <w:rFonts w:cs="Arial"/>
                <w:sz w:val="24"/>
                <w:szCs w:val="24"/>
              </w:rPr>
            </w:pPr>
            <w:r w:rsidRPr="009A3A41">
              <w:rPr>
                <w:sz w:val="24"/>
                <w:szCs w:val="24"/>
              </w:rPr>
              <w:t>FEC/2022-11-14/9.2: Staff Recruitment and Retention –</w:t>
            </w:r>
            <w:r w:rsidR="00C05B76">
              <w:rPr>
                <w:sz w:val="24"/>
                <w:szCs w:val="24"/>
              </w:rPr>
              <w:t xml:space="preserve"> an update</w:t>
            </w:r>
            <w:r w:rsidRPr="009A3A41">
              <w:rPr>
                <w:sz w:val="24"/>
                <w:szCs w:val="24"/>
              </w:rPr>
              <w:t xml:space="preserve"> </w:t>
            </w:r>
            <w:r w:rsidR="00710F36">
              <w:rPr>
                <w:sz w:val="24"/>
                <w:szCs w:val="24"/>
              </w:rPr>
              <w:t>would be provided under the People Plan item</w:t>
            </w:r>
            <w:r w:rsidRPr="009A3A41">
              <w:rPr>
                <w:rFonts w:cs="Arial"/>
                <w:sz w:val="24"/>
                <w:szCs w:val="24"/>
              </w:rPr>
              <w:t xml:space="preserve">. </w:t>
            </w:r>
          </w:p>
        </w:tc>
      </w:tr>
      <w:tr w:rsidR="009E30DD" w:rsidRPr="008A753B" w14:paraId="1D5DEFEF" w14:textId="77777777" w:rsidTr="3A98BE57">
        <w:tc>
          <w:tcPr>
            <w:tcW w:w="1560" w:type="dxa"/>
            <w:tcBorders>
              <w:top w:val="single" w:sz="4" w:space="0" w:color="auto"/>
              <w:bottom w:val="single" w:sz="4" w:space="0" w:color="auto"/>
            </w:tcBorders>
            <w:shd w:val="clear" w:color="auto" w:fill="D9D9D9" w:themeFill="background1" w:themeFillShade="D9"/>
          </w:tcPr>
          <w:p w14:paraId="13296242" w14:textId="08DC1A64" w:rsidR="009E30DD" w:rsidRPr="00A85DEC" w:rsidRDefault="009E30DD" w:rsidP="009E30DD">
            <w:pPr>
              <w:pStyle w:val="Heading3"/>
              <w:spacing w:before="60" w:after="60"/>
              <w:ind w:left="-106" w:right="-108"/>
              <w:rPr>
                <w:sz w:val="20"/>
                <w:szCs w:val="20"/>
              </w:rPr>
            </w:pPr>
            <w:bookmarkStart w:id="1" w:name="_Hlk114508986"/>
            <w:r>
              <w:t>FEC/</w:t>
            </w:r>
            <w:r w:rsidR="0066126F">
              <w:t>2023-05-03</w:t>
            </w:r>
            <w:r>
              <w:t>/5</w:t>
            </w:r>
          </w:p>
        </w:tc>
        <w:tc>
          <w:tcPr>
            <w:tcW w:w="6663" w:type="dxa"/>
            <w:tcBorders>
              <w:top w:val="single" w:sz="4" w:space="0" w:color="auto"/>
              <w:bottom w:val="single" w:sz="4" w:space="0" w:color="auto"/>
            </w:tcBorders>
            <w:shd w:val="clear" w:color="auto" w:fill="D9D9D9" w:themeFill="background1" w:themeFillShade="D9"/>
          </w:tcPr>
          <w:p w14:paraId="35AB4815" w14:textId="77777777" w:rsidR="009E30DD" w:rsidRPr="00A85DEC" w:rsidRDefault="009E30DD" w:rsidP="009E30DD">
            <w:pPr>
              <w:pStyle w:val="Heading2"/>
              <w:rPr>
                <w:sz w:val="20"/>
                <w:szCs w:val="20"/>
              </w:rPr>
            </w:pPr>
            <w:r>
              <w:rPr>
                <w:bCs/>
                <w:szCs w:val="24"/>
              </w:rPr>
              <w:t>2</w:t>
            </w:r>
            <w:r w:rsidRPr="005567A0">
              <w:rPr>
                <w:bCs/>
                <w:szCs w:val="24"/>
              </w:rPr>
              <w:t xml:space="preserve">023/24 BUDGET AND FUTURE FORECASTS – PROCESS, RISKS </w:t>
            </w:r>
            <w:r>
              <w:rPr>
                <w:bCs/>
                <w:szCs w:val="24"/>
              </w:rPr>
              <w:t>AND</w:t>
            </w:r>
            <w:r w:rsidRPr="005567A0">
              <w:rPr>
                <w:bCs/>
                <w:szCs w:val="24"/>
              </w:rPr>
              <w:t xml:space="preserve"> ASSUMPTIONS</w:t>
            </w:r>
          </w:p>
        </w:tc>
        <w:tc>
          <w:tcPr>
            <w:tcW w:w="1984" w:type="dxa"/>
            <w:tcBorders>
              <w:top w:val="single" w:sz="4" w:space="0" w:color="auto"/>
              <w:bottom w:val="single" w:sz="4" w:space="0" w:color="auto"/>
            </w:tcBorders>
            <w:shd w:val="clear" w:color="auto" w:fill="D9D9D9" w:themeFill="background1" w:themeFillShade="D9"/>
          </w:tcPr>
          <w:p w14:paraId="06F919C3" w14:textId="6CC33026" w:rsidR="009E30DD" w:rsidRPr="009E30DD" w:rsidRDefault="009E30DD" w:rsidP="009E30DD">
            <w:pPr>
              <w:spacing w:before="60" w:after="60"/>
              <w:ind w:right="-109"/>
              <w:jc w:val="right"/>
              <w:rPr>
                <w:sz w:val="18"/>
                <w:szCs w:val="18"/>
              </w:rPr>
            </w:pPr>
            <w:r w:rsidRPr="009E30DD">
              <w:rPr>
                <w:sz w:val="18"/>
                <w:szCs w:val="18"/>
              </w:rPr>
              <w:t>FEC/</w:t>
            </w:r>
            <w:r w:rsidR="0066126F">
              <w:rPr>
                <w:sz w:val="18"/>
                <w:szCs w:val="18"/>
              </w:rPr>
              <w:t>2023-05-03</w:t>
            </w:r>
            <w:r w:rsidRPr="009E30DD">
              <w:rPr>
                <w:sz w:val="18"/>
                <w:szCs w:val="18"/>
              </w:rPr>
              <w:t>/P5</w:t>
            </w:r>
          </w:p>
        </w:tc>
      </w:tr>
      <w:tr w:rsidR="009E30DD" w:rsidRPr="008A753B" w14:paraId="3EA4DB24" w14:textId="77777777" w:rsidTr="3A98BE57">
        <w:tc>
          <w:tcPr>
            <w:tcW w:w="1560" w:type="dxa"/>
            <w:tcBorders>
              <w:top w:val="single" w:sz="4" w:space="0" w:color="auto"/>
              <w:bottom w:val="nil"/>
            </w:tcBorders>
          </w:tcPr>
          <w:p w14:paraId="37CA701A" w14:textId="29F9B186" w:rsidR="009E30DD" w:rsidRPr="008A753B" w:rsidRDefault="009E30DD" w:rsidP="009E30DD">
            <w:pPr>
              <w:spacing w:before="60" w:after="60"/>
              <w:ind w:left="-106" w:right="-108"/>
              <w:rPr>
                <w:sz w:val="24"/>
                <w:szCs w:val="24"/>
              </w:rPr>
            </w:pPr>
            <w:r>
              <w:rPr>
                <w:sz w:val="24"/>
                <w:szCs w:val="24"/>
              </w:rPr>
              <w:t>5.1</w:t>
            </w:r>
          </w:p>
        </w:tc>
        <w:tc>
          <w:tcPr>
            <w:tcW w:w="8647" w:type="dxa"/>
            <w:gridSpan w:val="2"/>
            <w:tcBorders>
              <w:top w:val="single" w:sz="4" w:space="0" w:color="auto"/>
              <w:bottom w:val="nil"/>
            </w:tcBorders>
          </w:tcPr>
          <w:p w14:paraId="7068C454" w14:textId="09D775C8" w:rsidR="006B1CD7" w:rsidRDefault="006B1CD7" w:rsidP="009E30DD">
            <w:pPr>
              <w:tabs>
                <w:tab w:val="left" w:pos="720"/>
                <w:tab w:val="left" w:pos="1440"/>
                <w:tab w:val="left" w:pos="2160"/>
                <w:tab w:val="left" w:pos="2790"/>
                <w:tab w:val="right" w:pos="9000"/>
              </w:tabs>
              <w:spacing w:before="60" w:after="60"/>
              <w:rPr>
                <w:sz w:val="24"/>
                <w:szCs w:val="24"/>
              </w:rPr>
            </w:pPr>
            <w:r>
              <w:rPr>
                <w:sz w:val="24"/>
                <w:szCs w:val="24"/>
              </w:rPr>
              <w:t xml:space="preserve">The CFO introduced the report, noting that there had been further positive developments since the circulation of the paper to the Committee. </w:t>
            </w:r>
          </w:p>
          <w:p w14:paraId="365029F9" w14:textId="49DFA2D8" w:rsidR="006B1CD7" w:rsidRDefault="006B1CD7" w:rsidP="009E30DD">
            <w:pPr>
              <w:tabs>
                <w:tab w:val="left" w:pos="720"/>
                <w:tab w:val="left" w:pos="1440"/>
                <w:tab w:val="left" w:pos="2160"/>
                <w:tab w:val="left" w:pos="2790"/>
                <w:tab w:val="right" w:pos="9000"/>
              </w:tabs>
              <w:spacing w:before="60" w:after="60"/>
              <w:rPr>
                <w:sz w:val="24"/>
                <w:szCs w:val="24"/>
              </w:rPr>
            </w:pPr>
            <w:r>
              <w:rPr>
                <w:sz w:val="24"/>
                <w:szCs w:val="24"/>
              </w:rPr>
              <w:t xml:space="preserve">The Committee were reminded that, due to the impact of the static undergraduate fee (which represented a real term erosion of income), recruitment and retention performance and rising pay costs, the budget challenge (since the Financial Forecast </w:t>
            </w:r>
            <w:r>
              <w:rPr>
                <w:sz w:val="24"/>
                <w:szCs w:val="24"/>
              </w:rPr>
              <w:lastRenderedPageBreak/>
              <w:t xml:space="preserve">was last submitted to the OfS) had increased significantly. These issues were not specific to the University and were being seen across the sector. </w:t>
            </w:r>
          </w:p>
          <w:p w14:paraId="6C3B6BD6" w14:textId="54E4F3F9" w:rsidR="000F6BD2" w:rsidRPr="00B10438" w:rsidRDefault="65DC8032" w:rsidP="00462AF0">
            <w:pPr>
              <w:tabs>
                <w:tab w:val="left" w:pos="720"/>
                <w:tab w:val="left" w:pos="1440"/>
                <w:tab w:val="left" w:pos="2160"/>
                <w:tab w:val="left" w:pos="2790"/>
                <w:tab w:val="right" w:pos="9000"/>
              </w:tabs>
              <w:spacing w:before="60" w:after="60"/>
              <w:rPr>
                <w:sz w:val="24"/>
                <w:szCs w:val="24"/>
              </w:rPr>
            </w:pPr>
            <w:r w:rsidRPr="3A98BE57">
              <w:rPr>
                <w:sz w:val="24"/>
                <w:szCs w:val="24"/>
              </w:rPr>
              <w:t>The CFO reported that the balanced</w:t>
            </w:r>
            <w:r w:rsidR="006B6B49">
              <w:rPr>
                <w:sz w:val="24"/>
                <w:szCs w:val="24"/>
              </w:rPr>
              <w:t>,</w:t>
            </w:r>
            <w:r w:rsidRPr="3A98BE57">
              <w:rPr>
                <w:sz w:val="24"/>
                <w:szCs w:val="24"/>
              </w:rPr>
              <w:t xml:space="preserve"> but stringent</w:t>
            </w:r>
            <w:r w:rsidR="006B6B49">
              <w:rPr>
                <w:sz w:val="24"/>
                <w:szCs w:val="24"/>
              </w:rPr>
              <w:t>,</w:t>
            </w:r>
            <w:r w:rsidRPr="3A98BE57">
              <w:rPr>
                <w:sz w:val="24"/>
                <w:szCs w:val="24"/>
              </w:rPr>
              <w:t xml:space="preserve"> approach previously agreed by the Executive and endorsed by the Committee had resulted in significant</w:t>
            </w:r>
            <w:r w:rsidR="1D222A80" w:rsidRPr="3A98BE57">
              <w:rPr>
                <w:sz w:val="24"/>
                <w:szCs w:val="24"/>
              </w:rPr>
              <w:t xml:space="preserve"> and balance</w:t>
            </w:r>
            <w:r w:rsidR="2C2C9CAE" w:rsidRPr="3A98BE57">
              <w:rPr>
                <w:sz w:val="24"/>
                <w:szCs w:val="24"/>
              </w:rPr>
              <w:t>d</w:t>
            </w:r>
            <w:r w:rsidRPr="3A98BE57">
              <w:rPr>
                <w:sz w:val="24"/>
                <w:szCs w:val="24"/>
              </w:rPr>
              <w:t xml:space="preserve"> engagement across academic and professional service areas. </w:t>
            </w:r>
          </w:p>
        </w:tc>
      </w:tr>
      <w:bookmarkEnd w:id="1"/>
      <w:tr w:rsidR="00FC69B5" w:rsidRPr="008A753B" w14:paraId="6224128D" w14:textId="77777777" w:rsidTr="3A98BE57">
        <w:tc>
          <w:tcPr>
            <w:tcW w:w="1560" w:type="dxa"/>
            <w:tcBorders>
              <w:top w:val="nil"/>
              <w:bottom w:val="nil"/>
            </w:tcBorders>
          </w:tcPr>
          <w:p w14:paraId="1470914D" w14:textId="738F739B" w:rsidR="00FC69B5" w:rsidRDefault="00FC69B5" w:rsidP="00FC69B5">
            <w:pPr>
              <w:spacing w:before="60" w:after="60"/>
              <w:ind w:left="-106" w:right="-108"/>
              <w:rPr>
                <w:sz w:val="24"/>
                <w:szCs w:val="24"/>
              </w:rPr>
            </w:pPr>
            <w:r>
              <w:rPr>
                <w:sz w:val="24"/>
                <w:szCs w:val="24"/>
              </w:rPr>
              <w:lastRenderedPageBreak/>
              <w:t>5.2</w:t>
            </w:r>
          </w:p>
        </w:tc>
        <w:tc>
          <w:tcPr>
            <w:tcW w:w="8647" w:type="dxa"/>
            <w:gridSpan w:val="2"/>
            <w:tcBorders>
              <w:top w:val="nil"/>
              <w:bottom w:val="nil"/>
            </w:tcBorders>
          </w:tcPr>
          <w:p w14:paraId="3D82E8A7" w14:textId="09933D7F" w:rsidR="00FC69B5" w:rsidRDefault="00FC69B5" w:rsidP="00FC69B5">
            <w:pPr>
              <w:tabs>
                <w:tab w:val="left" w:pos="720"/>
                <w:tab w:val="left" w:pos="1440"/>
                <w:tab w:val="left" w:pos="2160"/>
                <w:tab w:val="left" w:pos="2790"/>
                <w:tab w:val="right" w:pos="9000"/>
              </w:tabs>
              <w:spacing w:before="60" w:after="60"/>
              <w:rPr>
                <w:sz w:val="24"/>
                <w:szCs w:val="24"/>
              </w:rPr>
            </w:pPr>
            <w:r>
              <w:rPr>
                <w:sz w:val="24"/>
                <w:szCs w:val="24"/>
              </w:rPr>
              <w:t>A confidential minute was recorded.</w:t>
            </w:r>
          </w:p>
        </w:tc>
      </w:tr>
      <w:tr w:rsidR="00FC69B5" w:rsidRPr="008A753B" w14:paraId="0D566F5C" w14:textId="77777777" w:rsidTr="3A98BE57">
        <w:tc>
          <w:tcPr>
            <w:tcW w:w="1560" w:type="dxa"/>
            <w:tcBorders>
              <w:top w:val="nil"/>
              <w:bottom w:val="nil"/>
            </w:tcBorders>
          </w:tcPr>
          <w:p w14:paraId="19D4EB6C" w14:textId="6152E3B0" w:rsidR="00FC69B5" w:rsidRDefault="00FC69B5" w:rsidP="00FC69B5">
            <w:pPr>
              <w:spacing w:before="60" w:after="60"/>
              <w:ind w:left="-106" w:right="-108"/>
              <w:rPr>
                <w:sz w:val="24"/>
                <w:szCs w:val="24"/>
              </w:rPr>
            </w:pPr>
            <w:r>
              <w:rPr>
                <w:sz w:val="24"/>
                <w:szCs w:val="24"/>
              </w:rPr>
              <w:t>5.3</w:t>
            </w:r>
          </w:p>
        </w:tc>
        <w:tc>
          <w:tcPr>
            <w:tcW w:w="8647" w:type="dxa"/>
            <w:gridSpan w:val="2"/>
            <w:tcBorders>
              <w:top w:val="nil"/>
              <w:bottom w:val="nil"/>
            </w:tcBorders>
          </w:tcPr>
          <w:p w14:paraId="112CF53F" w14:textId="77777777" w:rsidR="00FC69B5" w:rsidRDefault="00FC69B5" w:rsidP="00FC69B5">
            <w:pPr>
              <w:tabs>
                <w:tab w:val="left" w:pos="720"/>
                <w:tab w:val="left" w:pos="1440"/>
                <w:tab w:val="left" w:pos="2160"/>
                <w:tab w:val="left" w:pos="2790"/>
                <w:tab w:val="right" w:pos="9000"/>
              </w:tabs>
              <w:spacing w:before="60" w:after="60"/>
              <w:rPr>
                <w:sz w:val="24"/>
                <w:szCs w:val="24"/>
              </w:rPr>
            </w:pPr>
            <w:r>
              <w:rPr>
                <w:sz w:val="24"/>
                <w:szCs w:val="24"/>
              </w:rPr>
              <w:t xml:space="preserve">It was reported that significant savings were being made against controllable budget lines.  </w:t>
            </w:r>
          </w:p>
          <w:p w14:paraId="185844DC" w14:textId="04C9370D" w:rsidR="00FC69B5" w:rsidRDefault="00FC69B5" w:rsidP="00FC69B5">
            <w:pPr>
              <w:tabs>
                <w:tab w:val="left" w:pos="720"/>
                <w:tab w:val="left" w:pos="1440"/>
                <w:tab w:val="left" w:pos="2160"/>
                <w:tab w:val="left" w:pos="2790"/>
                <w:tab w:val="right" w:pos="9000"/>
              </w:tabs>
              <w:spacing w:before="60" w:after="60"/>
              <w:rPr>
                <w:sz w:val="24"/>
                <w:szCs w:val="24"/>
              </w:rPr>
            </w:pPr>
            <w:r w:rsidRPr="3A98BE57">
              <w:rPr>
                <w:sz w:val="24"/>
                <w:szCs w:val="24"/>
              </w:rPr>
              <w:t>It was recognised that this process was not seeking to identify short-term measures but instead to secure contingency savings should unanticipated events occur.</w:t>
            </w:r>
          </w:p>
        </w:tc>
      </w:tr>
      <w:tr w:rsidR="00FC69B5" w:rsidRPr="008A753B" w14:paraId="73E659C4" w14:textId="77777777" w:rsidTr="3A98BE57">
        <w:tc>
          <w:tcPr>
            <w:tcW w:w="1560" w:type="dxa"/>
            <w:tcBorders>
              <w:top w:val="nil"/>
              <w:bottom w:val="nil"/>
            </w:tcBorders>
          </w:tcPr>
          <w:p w14:paraId="3555CABB" w14:textId="194A4C8B" w:rsidR="00FC69B5" w:rsidRDefault="00FC69B5" w:rsidP="00FC69B5">
            <w:pPr>
              <w:spacing w:before="60" w:after="60"/>
              <w:ind w:left="-106" w:right="-108"/>
              <w:rPr>
                <w:sz w:val="24"/>
                <w:szCs w:val="24"/>
              </w:rPr>
            </w:pPr>
            <w:r>
              <w:rPr>
                <w:sz w:val="24"/>
                <w:szCs w:val="24"/>
              </w:rPr>
              <w:t>5.4</w:t>
            </w:r>
          </w:p>
        </w:tc>
        <w:tc>
          <w:tcPr>
            <w:tcW w:w="8647" w:type="dxa"/>
            <w:gridSpan w:val="2"/>
            <w:tcBorders>
              <w:top w:val="nil"/>
              <w:bottom w:val="nil"/>
            </w:tcBorders>
          </w:tcPr>
          <w:p w14:paraId="374F2FB7" w14:textId="6B2FFCD9" w:rsidR="00FC69B5" w:rsidRDefault="00FC69B5" w:rsidP="00FC69B5">
            <w:pPr>
              <w:tabs>
                <w:tab w:val="left" w:pos="720"/>
                <w:tab w:val="left" w:pos="1440"/>
                <w:tab w:val="left" w:pos="2160"/>
                <w:tab w:val="left" w:pos="2790"/>
                <w:tab w:val="right" w:pos="9000"/>
              </w:tabs>
              <w:spacing w:before="60" w:after="60"/>
              <w:rPr>
                <w:sz w:val="24"/>
                <w:szCs w:val="24"/>
              </w:rPr>
            </w:pPr>
            <w:r>
              <w:rPr>
                <w:sz w:val="24"/>
                <w:szCs w:val="24"/>
              </w:rPr>
              <w:t>A confidential minute was recorded.</w:t>
            </w:r>
          </w:p>
        </w:tc>
      </w:tr>
      <w:tr w:rsidR="00FC69B5" w:rsidRPr="008A753B" w14:paraId="3803AB8B" w14:textId="77777777" w:rsidTr="3A98BE57">
        <w:tc>
          <w:tcPr>
            <w:tcW w:w="1560" w:type="dxa"/>
            <w:tcBorders>
              <w:top w:val="nil"/>
              <w:bottom w:val="nil"/>
            </w:tcBorders>
          </w:tcPr>
          <w:p w14:paraId="06145414" w14:textId="48923FCD" w:rsidR="00FC69B5" w:rsidRDefault="00FC69B5" w:rsidP="00FC69B5">
            <w:pPr>
              <w:spacing w:before="60" w:after="60"/>
              <w:ind w:left="-106" w:right="-108"/>
              <w:rPr>
                <w:sz w:val="24"/>
                <w:szCs w:val="24"/>
              </w:rPr>
            </w:pPr>
            <w:r>
              <w:rPr>
                <w:sz w:val="24"/>
                <w:szCs w:val="24"/>
              </w:rPr>
              <w:t>5.5</w:t>
            </w:r>
          </w:p>
        </w:tc>
        <w:tc>
          <w:tcPr>
            <w:tcW w:w="8647" w:type="dxa"/>
            <w:gridSpan w:val="2"/>
            <w:tcBorders>
              <w:top w:val="nil"/>
              <w:bottom w:val="nil"/>
            </w:tcBorders>
          </w:tcPr>
          <w:p w14:paraId="1C08F673" w14:textId="496EB544" w:rsidR="00FC69B5" w:rsidRDefault="00FC69B5" w:rsidP="00FC69B5">
            <w:pPr>
              <w:tabs>
                <w:tab w:val="left" w:pos="720"/>
                <w:tab w:val="left" w:pos="1440"/>
                <w:tab w:val="left" w:pos="2160"/>
                <w:tab w:val="left" w:pos="2790"/>
                <w:tab w:val="right" w:pos="9000"/>
              </w:tabs>
              <w:spacing w:before="60" w:after="60"/>
              <w:rPr>
                <w:sz w:val="24"/>
                <w:szCs w:val="24"/>
              </w:rPr>
            </w:pPr>
            <w:r>
              <w:rPr>
                <w:sz w:val="24"/>
                <w:szCs w:val="24"/>
              </w:rPr>
              <w:t xml:space="preserve">FEC members thanked the CFO for the comprehensive report welcoming the progress to date and commented that it would be helpful for the Board of Governors to have a view on potential contingency measures. </w:t>
            </w:r>
          </w:p>
          <w:p w14:paraId="54EA3518" w14:textId="2130E842" w:rsidR="00FC69B5" w:rsidRPr="008F18B1" w:rsidRDefault="00FC69B5" w:rsidP="00FC69B5">
            <w:pPr>
              <w:tabs>
                <w:tab w:val="left" w:pos="720"/>
                <w:tab w:val="left" w:pos="1440"/>
                <w:tab w:val="left" w:pos="2160"/>
                <w:tab w:val="left" w:pos="2790"/>
                <w:tab w:val="right" w:pos="9000"/>
              </w:tabs>
              <w:spacing w:before="60" w:after="60"/>
              <w:rPr>
                <w:sz w:val="24"/>
                <w:szCs w:val="24"/>
              </w:rPr>
            </w:pPr>
            <w:r>
              <w:rPr>
                <w:sz w:val="24"/>
                <w:szCs w:val="24"/>
              </w:rPr>
              <w:t>The Committee offered support to the CFO where appropriate to further develop the position in order that the Board of Governors could receive a comprehensive update at the May Board meeting.</w:t>
            </w:r>
          </w:p>
        </w:tc>
      </w:tr>
      <w:tr w:rsidR="00FC69B5" w:rsidRPr="008A753B" w14:paraId="1D463BA9" w14:textId="77777777" w:rsidTr="3A98BE57">
        <w:tc>
          <w:tcPr>
            <w:tcW w:w="1560" w:type="dxa"/>
            <w:tcBorders>
              <w:top w:val="nil"/>
              <w:bottom w:val="nil"/>
            </w:tcBorders>
          </w:tcPr>
          <w:p w14:paraId="2DE40D78" w14:textId="644FB8BD" w:rsidR="00FC69B5" w:rsidRDefault="00FC69B5" w:rsidP="00FC69B5">
            <w:pPr>
              <w:spacing w:before="60" w:after="60"/>
              <w:ind w:left="-106" w:right="-108"/>
              <w:rPr>
                <w:sz w:val="24"/>
                <w:szCs w:val="24"/>
              </w:rPr>
            </w:pPr>
            <w:r>
              <w:rPr>
                <w:sz w:val="24"/>
                <w:szCs w:val="24"/>
              </w:rPr>
              <w:t>5.6</w:t>
            </w:r>
          </w:p>
        </w:tc>
        <w:tc>
          <w:tcPr>
            <w:tcW w:w="8647" w:type="dxa"/>
            <w:gridSpan w:val="2"/>
            <w:tcBorders>
              <w:top w:val="nil"/>
              <w:bottom w:val="nil"/>
            </w:tcBorders>
          </w:tcPr>
          <w:p w14:paraId="20E571AA" w14:textId="2D218801" w:rsidR="00FC69B5" w:rsidRDefault="00FC69B5" w:rsidP="00FC69B5">
            <w:pPr>
              <w:tabs>
                <w:tab w:val="left" w:pos="720"/>
                <w:tab w:val="left" w:pos="1440"/>
                <w:tab w:val="left" w:pos="2160"/>
                <w:tab w:val="left" w:pos="2790"/>
                <w:tab w:val="right" w:pos="9000"/>
              </w:tabs>
              <w:spacing w:before="60" w:after="60"/>
              <w:rPr>
                <w:sz w:val="24"/>
                <w:szCs w:val="24"/>
              </w:rPr>
            </w:pPr>
            <w:r>
              <w:rPr>
                <w:sz w:val="24"/>
                <w:szCs w:val="24"/>
              </w:rPr>
              <w:t xml:space="preserve">The Committee were appraised of timelines of when confirmation of modelling relating to student retention could be determined. It was reported that this continued to be an important area of focus for the University, primarily in view of achieving successful student outcomes and progression which also had wider financial impacts, and this would continue to be kept under review into the Autumn semester. </w:t>
            </w:r>
          </w:p>
        </w:tc>
      </w:tr>
      <w:tr w:rsidR="00FC69B5" w:rsidRPr="008A753B" w14:paraId="4DDBCA03" w14:textId="77777777" w:rsidTr="3A98BE57">
        <w:tc>
          <w:tcPr>
            <w:tcW w:w="1560" w:type="dxa"/>
            <w:tcBorders>
              <w:top w:val="nil"/>
              <w:bottom w:val="nil"/>
            </w:tcBorders>
          </w:tcPr>
          <w:p w14:paraId="42FFB95B" w14:textId="7E342FD4" w:rsidR="00FC69B5" w:rsidRDefault="00FC69B5" w:rsidP="00FC69B5">
            <w:pPr>
              <w:spacing w:before="60" w:after="60"/>
              <w:ind w:left="-106" w:right="-108"/>
              <w:rPr>
                <w:sz w:val="24"/>
                <w:szCs w:val="24"/>
              </w:rPr>
            </w:pPr>
            <w:r>
              <w:rPr>
                <w:sz w:val="24"/>
                <w:szCs w:val="24"/>
              </w:rPr>
              <w:t>5.7</w:t>
            </w:r>
          </w:p>
        </w:tc>
        <w:tc>
          <w:tcPr>
            <w:tcW w:w="8647" w:type="dxa"/>
            <w:gridSpan w:val="2"/>
            <w:tcBorders>
              <w:top w:val="nil"/>
              <w:bottom w:val="nil"/>
            </w:tcBorders>
          </w:tcPr>
          <w:p w14:paraId="6776A66E" w14:textId="74C4AD61" w:rsidR="00FC69B5" w:rsidRDefault="00FC69B5" w:rsidP="00FC69B5">
            <w:pPr>
              <w:tabs>
                <w:tab w:val="left" w:pos="720"/>
                <w:tab w:val="left" w:pos="1440"/>
                <w:tab w:val="left" w:pos="2160"/>
                <w:tab w:val="left" w:pos="2790"/>
                <w:tab w:val="right" w:pos="9000"/>
              </w:tabs>
              <w:spacing w:before="60" w:after="60"/>
              <w:rPr>
                <w:sz w:val="24"/>
                <w:szCs w:val="24"/>
              </w:rPr>
            </w:pPr>
            <w:r>
              <w:rPr>
                <w:sz w:val="24"/>
                <w:szCs w:val="24"/>
              </w:rPr>
              <w:t xml:space="preserve">The Committee thanked University staff for their positive engagement in this process, noting that the Senior Leaders commitment to open and honest conversations had been well received by staff and Trades Unions. </w:t>
            </w:r>
          </w:p>
        </w:tc>
      </w:tr>
      <w:tr w:rsidR="00FC69B5" w:rsidRPr="008A753B" w14:paraId="1B59D553" w14:textId="77777777" w:rsidTr="3A98BE57">
        <w:tc>
          <w:tcPr>
            <w:tcW w:w="1560" w:type="dxa"/>
            <w:tcBorders>
              <w:top w:val="nil"/>
              <w:bottom w:val="single" w:sz="4" w:space="0" w:color="auto"/>
            </w:tcBorders>
          </w:tcPr>
          <w:p w14:paraId="5577CB38" w14:textId="77777777" w:rsidR="00FC69B5" w:rsidRDefault="00FC69B5" w:rsidP="00FC69B5">
            <w:pPr>
              <w:spacing w:before="60" w:after="60"/>
              <w:ind w:left="-106" w:right="-108"/>
              <w:rPr>
                <w:sz w:val="24"/>
                <w:szCs w:val="24"/>
              </w:rPr>
            </w:pPr>
          </w:p>
        </w:tc>
        <w:tc>
          <w:tcPr>
            <w:tcW w:w="8647" w:type="dxa"/>
            <w:gridSpan w:val="2"/>
            <w:tcBorders>
              <w:top w:val="nil"/>
              <w:bottom w:val="single" w:sz="4" w:space="0" w:color="auto"/>
            </w:tcBorders>
          </w:tcPr>
          <w:p w14:paraId="6FBC06B2" w14:textId="12822781" w:rsidR="00FC69B5" w:rsidRPr="00B466B1" w:rsidRDefault="00FC69B5" w:rsidP="00FC69B5">
            <w:pPr>
              <w:tabs>
                <w:tab w:val="left" w:pos="720"/>
                <w:tab w:val="left" w:pos="1440"/>
                <w:tab w:val="left" w:pos="2160"/>
                <w:tab w:val="left" w:pos="2790"/>
                <w:tab w:val="right" w:pos="9000"/>
              </w:tabs>
              <w:spacing w:before="60" w:after="60"/>
              <w:rPr>
                <w:sz w:val="24"/>
                <w:szCs w:val="24"/>
              </w:rPr>
            </w:pPr>
            <w:r w:rsidRPr="004E53C5">
              <w:rPr>
                <w:b/>
                <w:bCs/>
                <w:sz w:val="24"/>
                <w:szCs w:val="24"/>
              </w:rPr>
              <w:t>Action:</w:t>
            </w:r>
            <w:r>
              <w:rPr>
                <w:sz w:val="24"/>
                <w:szCs w:val="24"/>
              </w:rPr>
              <w:t xml:space="preserve"> CFO to update the Committee as appropriate ahead of the Board meeting. </w:t>
            </w:r>
          </w:p>
        </w:tc>
      </w:tr>
      <w:tr w:rsidR="00FC69B5" w:rsidRPr="008A753B" w14:paraId="2A23FCAB" w14:textId="77777777" w:rsidTr="3A98BE57">
        <w:tc>
          <w:tcPr>
            <w:tcW w:w="1560" w:type="dxa"/>
            <w:tcBorders>
              <w:top w:val="single" w:sz="4" w:space="0" w:color="auto"/>
              <w:bottom w:val="nil"/>
            </w:tcBorders>
            <w:shd w:val="clear" w:color="auto" w:fill="D9D9D9" w:themeFill="background1" w:themeFillShade="D9"/>
          </w:tcPr>
          <w:p w14:paraId="01BC7432" w14:textId="6FFB9692" w:rsidR="00FC69B5" w:rsidRPr="00A85DEC" w:rsidRDefault="00FC69B5" w:rsidP="00FC69B5">
            <w:pPr>
              <w:pStyle w:val="Heading3"/>
              <w:spacing w:before="60" w:after="60"/>
              <w:ind w:left="-106" w:right="-108"/>
              <w:rPr>
                <w:sz w:val="20"/>
                <w:szCs w:val="20"/>
              </w:rPr>
            </w:pPr>
            <w:bookmarkStart w:id="2" w:name="_Hlk114508928"/>
            <w:bookmarkStart w:id="3" w:name="_Hlk119580530"/>
            <w:bookmarkStart w:id="4" w:name="_Hlk128499660"/>
            <w:bookmarkStart w:id="5" w:name="_Hlk120019320"/>
            <w:r>
              <w:t>FEC/</w:t>
            </w:r>
            <w:r w:rsidR="0066126F">
              <w:t>2023-05-03</w:t>
            </w:r>
            <w:r>
              <w:t>/6</w:t>
            </w:r>
          </w:p>
        </w:tc>
        <w:tc>
          <w:tcPr>
            <w:tcW w:w="6663" w:type="dxa"/>
            <w:tcBorders>
              <w:top w:val="single" w:sz="4" w:space="0" w:color="auto"/>
              <w:bottom w:val="nil"/>
            </w:tcBorders>
            <w:shd w:val="clear" w:color="auto" w:fill="D9D9D9" w:themeFill="background1" w:themeFillShade="D9"/>
          </w:tcPr>
          <w:p w14:paraId="35C2489A" w14:textId="14985334" w:rsidR="00FC69B5" w:rsidRPr="00A85DEC" w:rsidRDefault="00FC69B5" w:rsidP="00FC69B5">
            <w:pPr>
              <w:pStyle w:val="Heading2"/>
              <w:rPr>
                <w:sz w:val="20"/>
                <w:szCs w:val="20"/>
              </w:rPr>
            </w:pPr>
            <w:r>
              <w:rPr>
                <w:bCs/>
                <w:szCs w:val="24"/>
              </w:rPr>
              <w:t>TREASURY MANAGEMENT POLICY (TMP)</w:t>
            </w:r>
          </w:p>
        </w:tc>
        <w:tc>
          <w:tcPr>
            <w:tcW w:w="1984" w:type="dxa"/>
            <w:tcBorders>
              <w:top w:val="single" w:sz="4" w:space="0" w:color="auto"/>
              <w:bottom w:val="nil"/>
            </w:tcBorders>
            <w:shd w:val="clear" w:color="auto" w:fill="D9D9D9" w:themeFill="background1" w:themeFillShade="D9"/>
          </w:tcPr>
          <w:p w14:paraId="79681CC0" w14:textId="33BFF546" w:rsidR="00FC69B5" w:rsidRPr="009E30DD" w:rsidRDefault="00FC69B5" w:rsidP="00FC69B5">
            <w:pPr>
              <w:spacing w:before="60" w:after="60"/>
              <w:ind w:right="-109"/>
              <w:jc w:val="right"/>
              <w:rPr>
                <w:sz w:val="18"/>
                <w:szCs w:val="18"/>
              </w:rPr>
            </w:pPr>
            <w:r w:rsidRPr="009E30DD">
              <w:rPr>
                <w:sz w:val="18"/>
                <w:szCs w:val="18"/>
              </w:rPr>
              <w:t>FEC/</w:t>
            </w:r>
            <w:r w:rsidR="0066126F">
              <w:rPr>
                <w:sz w:val="18"/>
                <w:szCs w:val="18"/>
              </w:rPr>
              <w:t>2023-05-03</w:t>
            </w:r>
            <w:r w:rsidRPr="009E30DD">
              <w:rPr>
                <w:sz w:val="18"/>
                <w:szCs w:val="18"/>
              </w:rPr>
              <w:t>/P</w:t>
            </w:r>
            <w:r>
              <w:rPr>
                <w:sz w:val="18"/>
                <w:szCs w:val="18"/>
              </w:rPr>
              <w:t>6</w:t>
            </w:r>
          </w:p>
        </w:tc>
      </w:tr>
      <w:tr w:rsidR="00FC69B5" w:rsidRPr="008A753B" w14:paraId="4E313624" w14:textId="77777777" w:rsidTr="3A98BE57">
        <w:tc>
          <w:tcPr>
            <w:tcW w:w="1560" w:type="dxa"/>
            <w:tcBorders>
              <w:top w:val="nil"/>
              <w:bottom w:val="nil"/>
            </w:tcBorders>
          </w:tcPr>
          <w:p w14:paraId="41A0FCF8" w14:textId="1EA385E4" w:rsidR="00FC69B5" w:rsidRPr="008A753B" w:rsidRDefault="00FC69B5" w:rsidP="00FC69B5">
            <w:pPr>
              <w:spacing w:before="60" w:after="60"/>
              <w:ind w:left="-106" w:right="-108"/>
              <w:rPr>
                <w:sz w:val="24"/>
                <w:szCs w:val="24"/>
              </w:rPr>
            </w:pPr>
            <w:r>
              <w:rPr>
                <w:sz w:val="24"/>
                <w:szCs w:val="24"/>
              </w:rPr>
              <w:t>6.1</w:t>
            </w:r>
          </w:p>
        </w:tc>
        <w:tc>
          <w:tcPr>
            <w:tcW w:w="8647" w:type="dxa"/>
            <w:gridSpan w:val="2"/>
            <w:tcBorders>
              <w:top w:val="nil"/>
              <w:bottom w:val="nil"/>
            </w:tcBorders>
          </w:tcPr>
          <w:p w14:paraId="3714A215" w14:textId="157086CA" w:rsidR="00FC69B5" w:rsidRDefault="00FC69B5" w:rsidP="00FC69B5">
            <w:pPr>
              <w:tabs>
                <w:tab w:val="left" w:pos="720"/>
                <w:tab w:val="left" w:pos="1440"/>
                <w:tab w:val="left" w:pos="2160"/>
                <w:tab w:val="left" w:pos="2790"/>
                <w:tab w:val="right" w:pos="9000"/>
              </w:tabs>
              <w:spacing w:before="60" w:after="60"/>
              <w:rPr>
                <w:sz w:val="24"/>
                <w:szCs w:val="24"/>
              </w:rPr>
            </w:pPr>
            <w:r>
              <w:rPr>
                <w:sz w:val="24"/>
                <w:szCs w:val="24"/>
              </w:rPr>
              <w:t xml:space="preserve">The CFO introduced the annual report which contained administrative updates and was scheduled for a comprehensive review in 2023/4. </w:t>
            </w:r>
          </w:p>
          <w:p w14:paraId="58158F8F" w14:textId="18C4B278" w:rsidR="00FC69B5" w:rsidRPr="00B10438" w:rsidRDefault="00FC69B5" w:rsidP="00FC69B5">
            <w:pPr>
              <w:tabs>
                <w:tab w:val="left" w:pos="720"/>
                <w:tab w:val="left" w:pos="1440"/>
                <w:tab w:val="left" w:pos="2160"/>
                <w:tab w:val="left" w:pos="2790"/>
                <w:tab w:val="right" w:pos="9000"/>
              </w:tabs>
              <w:spacing w:before="60" w:after="60"/>
              <w:rPr>
                <w:sz w:val="24"/>
                <w:szCs w:val="24"/>
              </w:rPr>
            </w:pPr>
            <w:r>
              <w:rPr>
                <w:sz w:val="24"/>
                <w:szCs w:val="24"/>
              </w:rPr>
              <w:t xml:space="preserve">Comments from Members on potential improvements to the ethical investment aspects of the policy would be taken forwards for incorporation. </w:t>
            </w:r>
          </w:p>
        </w:tc>
      </w:tr>
      <w:tr w:rsidR="00FC69B5" w:rsidRPr="008A753B" w14:paraId="4B22D184" w14:textId="77777777" w:rsidTr="3A98BE57">
        <w:tc>
          <w:tcPr>
            <w:tcW w:w="1560" w:type="dxa"/>
            <w:tcBorders>
              <w:top w:val="nil"/>
              <w:bottom w:val="nil"/>
            </w:tcBorders>
          </w:tcPr>
          <w:p w14:paraId="4109323A" w14:textId="1219DBD9" w:rsidR="00FC69B5" w:rsidRDefault="00FC69B5" w:rsidP="00FC69B5">
            <w:pPr>
              <w:spacing w:before="60" w:after="60"/>
              <w:ind w:left="-106" w:right="-108"/>
              <w:rPr>
                <w:sz w:val="24"/>
                <w:szCs w:val="24"/>
              </w:rPr>
            </w:pPr>
            <w:r>
              <w:rPr>
                <w:sz w:val="24"/>
                <w:szCs w:val="24"/>
              </w:rPr>
              <w:t>6.2</w:t>
            </w:r>
          </w:p>
        </w:tc>
        <w:tc>
          <w:tcPr>
            <w:tcW w:w="8647" w:type="dxa"/>
            <w:gridSpan w:val="2"/>
            <w:tcBorders>
              <w:top w:val="nil"/>
              <w:bottom w:val="nil"/>
            </w:tcBorders>
          </w:tcPr>
          <w:p w14:paraId="18D8AAF2" w14:textId="3D661571" w:rsidR="00FC69B5" w:rsidRPr="00BB1920" w:rsidRDefault="00FC69B5" w:rsidP="00FC69B5">
            <w:pPr>
              <w:tabs>
                <w:tab w:val="left" w:pos="720"/>
                <w:tab w:val="left" w:pos="1440"/>
                <w:tab w:val="left" w:pos="2160"/>
                <w:tab w:val="left" w:pos="2790"/>
                <w:tab w:val="right" w:pos="9000"/>
              </w:tabs>
              <w:spacing w:before="60" w:after="60"/>
              <w:rPr>
                <w:sz w:val="24"/>
                <w:szCs w:val="24"/>
              </w:rPr>
            </w:pPr>
            <w:r>
              <w:rPr>
                <w:sz w:val="24"/>
                <w:szCs w:val="24"/>
              </w:rPr>
              <w:t>A confidential minute was recorded.</w:t>
            </w:r>
          </w:p>
        </w:tc>
      </w:tr>
      <w:tr w:rsidR="00FC69B5" w:rsidRPr="008A753B" w14:paraId="7313C4F9" w14:textId="77777777" w:rsidTr="3A98BE57">
        <w:tc>
          <w:tcPr>
            <w:tcW w:w="1560" w:type="dxa"/>
            <w:tcBorders>
              <w:top w:val="nil"/>
              <w:bottom w:val="nil"/>
            </w:tcBorders>
          </w:tcPr>
          <w:p w14:paraId="50F6F112" w14:textId="77777777" w:rsidR="00FC69B5" w:rsidRDefault="00FC69B5" w:rsidP="00FC69B5">
            <w:pPr>
              <w:spacing w:before="60" w:after="60"/>
              <w:ind w:left="-106" w:right="-108"/>
              <w:rPr>
                <w:sz w:val="24"/>
                <w:szCs w:val="24"/>
              </w:rPr>
            </w:pPr>
          </w:p>
        </w:tc>
        <w:tc>
          <w:tcPr>
            <w:tcW w:w="8647" w:type="dxa"/>
            <w:gridSpan w:val="2"/>
            <w:tcBorders>
              <w:top w:val="nil"/>
              <w:bottom w:val="single" w:sz="4" w:space="0" w:color="auto"/>
            </w:tcBorders>
          </w:tcPr>
          <w:p w14:paraId="2C8B3241" w14:textId="29DD9F9C" w:rsidR="00FC69B5" w:rsidRPr="00B466B1" w:rsidRDefault="00FC69B5" w:rsidP="00FC69B5">
            <w:pPr>
              <w:tabs>
                <w:tab w:val="left" w:pos="720"/>
                <w:tab w:val="left" w:pos="1440"/>
                <w:tab w:val="left" w:pos="2160"/>
                <w:tab w:val="left" w:pos="2790"/>
                <w:tab w:val="right" w:pos="9000"/>
              </w:tabs>
              <w:spacing w:before="60" w:after="60"/>
              <w:rPr>
                <w:sz w:val="24"/>
                <w:szCs w:val="24"/>
              </w:rPr>
            </w:pPr>
            <w:r>
              <w:rPr>
                <w:b/>
                <w:bCs/>
                <w:sz w:val="24"/>
                <w:szCs w:val="24"/>
              </w:rPr>
              <w:t>Resolution</w:t>
            </w:r>
            <w:r w:rsidRPr="004E53C5">
              <w:rPr>
                <w:b/>
                <w:bCs/>
                <w:sz w:val="24"/>
                <w:szCs w:val="24"/>
              </w:rPr>
              <w:t>:</w:t>
            </w:r>
            <w:r>
              <w:rPr>
                <w:sz w:val="24"/>
                <w:szCs w:val="24"/>
              </w:rPr>
              <w:t xml:space="preserve"> to </w:t>
            </w:r>
            <w:r w:rsidRPr="009A3A41">
              <w:rPr>
                <w:b/>
                <w:bCs/>
                <w:sz w:val="24"/>
                <w:szCs w:val="24"/>
              </w:rPr>
              <w:t>approve</w:t>
            </w:r>
            <w:r>
              <w:rPr>
                <w:sz w:val="24"/>
                <w:szCs w:val="24"/>
              </w:rPr>
              <w:t xml:space="preserve"> the changes to the Treasury Management Policy.</w:t>
            </w:r>
          </w:p>
        </w:tc>
      </w:tr>
      <w:tr w:rsidR="00FC69B5" w:rsidRPr="008A753B" w14:paraId="55492BDD" w14:textId="77777777" w:rsidTr="3A98BE57">
        <w:tc>
          <w:tcPr>
            <w:tcW w:w="1560" w:type="dxa"/>
            <w:tcBorders>
              <w:top w:val="nil"/>
              <w:bottom w:val="single" w:sz="4" w:space="0" w:color="auto"/>
            </w:tcBorders>
            <w:shd w:val="clear" w:color="auto" w:fill="D9D9D9" w:themeFill="background1" w:themeFillShade="D9"/>
          </w:tcPr>
          <w:p w14:paraId="1CD9A082" w14:textId="0EEBB70B" w:rsidR="00FC69B5" w:rsidRPr="008A753B" w:rsidRDefault="00FC69B5" w:rsidP="00FC69B5">
            <w:pPr>
              <w:pStyle w:val="Heading3"/>
              <w:spacing w:before="60" w:after="60"/>
              <w:ind w:left="-106" w:right="-108"/>
              <w:rPr>
                <w:sz w:val="24"/>
              </w:rPr>
            </w:pPr>
            <w:r>
              <w:t>FEC/</w:t>
            </w:r>
            <w:r w:rsidR="0066126F">
              <w:t>2023-05-03</w:t>
            </w:r>
            <w:r>
              <w:t>/7</w:t>
            </w:r>
          </w:p>
        </w:tc>
        <w:tc>
          <w:tcPr>
            <w:tcW w:w="6663" w:type="dxa"/>
            <w:tcBorders>
              <w:top w:val="single" w:sz="4" w:space="0" w:color="auto"/>
              <w:bottom w:val="single" w:sz="4" w:space="0" w:color="auto"/>
            </w:tcBorders>
            <w:shd w:val="clear" w:color="auto" w:fill="D9D9D9" w:themeFill="background1" w:themeFillShade="D9"/>
          </w:tcPr>
          <w:p w14:paraId="63EF5CA3" w14:textId="77777777" w:rsidR="00FC69B5" w:rsidRPr="008A753B" w:rsidRDefault="00FC69B5" w:rsidP="00FC69B5">
            <w:pPr>
              <w:pStyle w:val="Heading2"/>
            </w:pPr>
            <w:r>
              <w:rPr>
                <w:bCs/>
                <w:szCs w:val="24"/>
              </w:rPr>
              <w:t>ESTATES DEVELOPMENT – STRATEGIC OVERVIEW</w:t>
            </w:r>
          </w:p>
        </w:tc>
        <w:tc>
          <w:tcPr>
            <w:tcW w:w="1984" w:type="dxa"/>
            <w:tcBorders>
              <w:top w:val="single" w:sz="4" w:space="0" w:color="auto"/>
              <w:bottom w:val="single" w:sz="4" w:space="0" w:color="auto"/>
            </w:tcBorders>
            <w:shd w:val="clear" w:color="auto" w:fill="D9D9D9" w:themeFill="background1" w:themeFillShade="D9"/>
          </w:tcPr>
          <w:p w14:paraId="70C1C901" w14:textId="56545C27" w:rsidR="00FC69B5" w:rsidRPr="00CF367D" w:rsidRDefault="00FC69B5" w:rsidP="00FC69B5">
            <w:pPr>
              <w:pStyle w:val="Heading3"/>
              <w:spacing w:before="60" w:after="60"/>
              <w:ind w:left="-113" w:right="-110"/>
              <w:jc w:val="right"/>
            </w:pPr>
            <w:r>
              <w:t>FEC/</w:t>
            </w:r>
            <w:r w:rsidR="0066126F">
              <w:t>2023-05-03</w:t>
            </w:r>
            <w:r>
              <w:t>/P7</w:t>
            </w:r>
          </w:p>
        </w:tc>
      </w:tr>
      <w:tr w:rsidR="00FC69B5" w:rsidRPr="00EE70CB" w14:paraId="006C7D06" w14:textId="77777777" w:rsidTr="3A98BE57">
        <w:tc>
          <w:tcPr>
            <w:tcW w:w="1560" w:type="dxa"/>
            <w:tcBorders>
              <w:top w:val="nil"/>
              <w:bottom w:val="nil"/>
            </w:tcBorders>
          </w:tcPr>
          <w:p w14:paraId="7324AAE7" w14:textId="117A758B" w:rsidR="00FC69B5" w:rsidRDefault="00FC69B5" w:rsidP="00FC69B5">
            <w:pPr>
              <w:spacing w:before="60" w:after="60"/>
              <w:ind w:left="-106" w:right="-108"/>
              <w:rPr>
                <w:sz w:val="24"/>
                <w:szCs w:val="24"/>
              </w:rPr>
            </w:pPr>
            <w:r>
              <w:rPr>
                <w:sz w:val="24"/>
                <w:szCs w:val="24"/>
              </w:rPr>
              <w:t>7.1</w:t>
            </w:r>
          </w:p>
        </w:tc>
        <w:tc>
          <w:tcPr>
            <w:tcW w:w="8647" w:type="dxa"/>
            <w:gridSpan w:val="2"/>
            <w:tcBorders>
              <w:top w:val="nil"/>
              <w:bottom w:val="nil"/>
            </w:tcBorders>
          </w:tcPr>
          <w:p w14:paraId="60BD5627" w14:textId="493DFBB6" w:rsidR="00FC69B5" w:rsidRDefault="00FC69B5" w:rsidP="00FC69B5">
            <w:pPr>
              <w:spacing w:before="60" w:after="60"/>
              <w:rPr>
                <w:rFonts w:ascii="Calibri" w:eastAsia="Calibri" w:hAnsi="Calibri" w:cs="Calibri"/>
                <w:color w:val="000000" w:themeColor="text1"/>
                <w:sz w:val="24"/>
                <w:szCs w:val="24"/>
              </w:rPr>
            </w:pPr>
            <w:r w:rsidRPr="3A98BE57">
              <w:rPr>
                <w:sz w:val="24"/>
                <w:szCs w:val="24"/>
              </w:rPr>
              <w:t>The GDI&amp;C updated FEC on key estates developments since the previous meeting, including:</w:t>
            </w:r>
            <w:r w:rsidRPr="3A98BE57">
              <w:rPr>
                <w:rFonts w:ascii="Calibri" w:eastAsia="Calibri" w:hAnsi="Calibri" w:cs="Calibri"/>
                <w:color w:val="000000" w:themeColor="text1"/>
                <w:sz w:val="24"/>
                <w:szCs w:val="24"/>
              </w:rPr>
              <w:t xml:space="preserve"> </w:t>
            </w:r>
          </w:p>
          <w:p w14:paraId="1A0357C1" w14:textId="2BD296F5" w:rsidR="00FC69B5" w:rsidRPr="00E3531E" w:rsidRDefault="00FC69B5" w:rsidP="00FC69B5">
            <w:pPr>
              <w:pStyle w:val="ListParagraph"/>
              <w:numPr>
                <w:ilvl w:val="0"/>
                <w:numId w:val="10"/>
              </w:numPr>
              <w:spacing w:before="60" w:after="60"/>
              <w:rPr>
                <w:sz w:val="24"/>
                <w:szCs w:val="24"/>
              </w:rPr>
            </w:pPr>
            <w:r>
              <w:rPr>
                <w:sz w:val="24"/>
                <w:szCs w:val="24"/>
              </w:rPr>
              <w:t>no s</w:t>
            </w:r>
            <w:r w:rsidRPr="3A98BE57">
              <w:rPr>
                <w:sz w:val="24"/>
                <w:szCs w:val="24"/>
              </w:rPr>
              <w:t>ignificant changes were anticipated within the current phase of the Campus Plan development</w:t>
            </w:r>
            <w:r>
              <w:rPr>
                <w:color w:val="FF0000"/>
                <w:sz w:val="24"/>
                <w:szCs w:val="24"/>
              </w:rPr>
              <w:t xml:space="preserve"> </w:t>
            </w:r>
            <w:r w:rsidRPr="00E3531E">
              <w:rPr>
                <w:sz w:val="24"/>
                <w:szCs w:val="24"/>
              </w:rPr>
              <w:t xml:space="preserve">which remained on track. </w:t>
            </w:r>
          </w:p>
          <w:p w14:paraId="2125F758" w14:textId="641D7CD7" w:rsidR="00FC69B5" w:rsidRPr="00E3531E" w:rsidRDefault="00FC69B5" w:rsidP="00FC69B5">
            <w:pPr>
              <w:pStyle w:val="ListParagraph"/>
              <w:numPr>
                <w:ilvl w:val="0"/>
                <w:numId w:val="3"/>
              </w:numPr>
              <w:spacing w:before="60" w:after="60"/>
              <w:rPr>
                <w:sz w:val="24"/>
                <w:szCs w:val="24"/>
              </w:rPr>
            </w:pPr>
            <w:r w:rsidRPr="00E3531E">
              <w:rPr>
                <w:rFonts w:eastAsia="Times New Roman"/>
                <w:sz w:val="24"/>
                <w:szCs w:val="24"/>
              </w:rPr>
              <w:t xml:space="preserve">In line with the overall Campus Plan, </w:t>
            </w:r>
            <w:r>
              <w:rPr>
                <w:rFonts w:eastAsia="Times New Roman"/>
                <w:sz w:val="24"/>
                <w:szCs w:val="24"/>
              </w:rPr>
              <w:t xml:space="preserve">the University was </w:t>
            </w:r>
            <w:r w:rsidRPr="00E3531E">
              <w:rPr>
                <w:rFonts w:eastAsia="Times New Roman"/>
                <w:sz w:val="24"/>
                <w:szCs w:val="24"/>
              </w:rPr>
              <w:t xml:space="preserve">now considering Phase 2 </w:t>
            </w:r>
            <w:proofErr w:type="gramStart"/>
            <w:r w:rsidRPr="00E3531E">
              <w:rPr>
                <w:rFonts w:eastAsia="Times New Roman"/>
                <w:sz w:val="24"/>
                <w:szCs w:val="24"/>
              </w:rPr>
              <w:t>in light of</w:t>
            </w:r>
            <w:proofErr w:type="gramEnd"/>
            <w:r w:rsidRPr="00E3531E">
              <w:rPr>
                <w:rFonts w:eastAsia="Times New Roman"/>
                <w:sz w:val="24"/>
                <w:szCs w:val="24"/>
              </w:rPr>
              <w:t xml:space="preserve"> changes in the financial and operating environment since the Plan was agreed in 2021, including both inflation and the University’s growth strategy. </w:t>
            </w:r>
            <w:r>
              <w:rPr>
                <w:rFonts w:eastAsia="Times New Roman"/>
                <w:sz w:val="24"/>
                <w:szCs w:val="24"/>
              </w:rPr>
              <w:t xml:space="preserve">The </w:t>
            </w:r>
            <w:r w:rsidRPr="00E3531E">
              <w:rPr>
                <w:rFonts w:eastAsia="Times New Roman"/>
                <w:sz w:val="24"/>
                <w:szCs w:val="24"/>
              </w:rPr>
              <w:t xml:space="preserve">GDI&amp;I </w:t>
            </w:r>
            <w:r>
              <w:rPr>
                <w:rFonts w:eastAsia="Times New Roman"/>
                <w:sz w:val="24"/>
                <w:szCs w:val="24"/>
              </w:rPr>
              <w:t xml:space="preserve">was </w:t>
            </w:r>
            <w:r w:rsidRPr="00E3531E">
              <w:rPr>
                <w:rFonts w:eastAsia="Times New Roman"/>
                <w:sz w:val="24"/>
                <w:szCs w:val="24"/>
              </w:rPr>
              <w:t>leading work to model a range options.  </w:t>
            </w:r>
          </w:p>
          <w:p w14:paraId="6C4735CE" w14:textId="48F604E1" w:rsidR="00FC69B5" w:rsidRDefault="00FC69B5" w:rsidP="00FC69B5">
            <w:pPr>
              <w:pStyle w:val="ListParagraph"/>
              <w:numPr>
                <w:ilvl w:val="0"/>
                <w:numId w:val="3"/>
              </w:numPr>
              <w:spacing w:before="60" w:after="60"/>
              <w:rPr>
                <w:sz w:val="24"/>
                <w:szCs w:val="24"/>
              </w:rPr>
            </w:pPr>
            <w:r w:rsidRPr="3A98BE57">
              <w:rPr>
                <w:sz w:val="24"/>
                <w:szCs w:val="24"/>
              </w:rPr>
              <w:lastRenderedPageBreak/>
              <w:t xml:space="preserve">The Alliance was continuing to work well, and it was important to ensure clarity of future project timescales to maintain enthusiasm and engagement.  </w:t>
            </w:r>
          </w:p>
          <w:p w14:paraId="220DA480" w14:textId="1F608A4C" w:rsidR="00FC69B5" w:rsidRPr="00B35350" w:rsidRDefault="00FC69B5" w:rsidP="00FC69B5">
            <w:pPr>
              <w:pStyle w:val="ListParagraph"/>
              <w:numPr>
                <w:ilvl w:val="0"/>
                <w:numId w:val="3"/>
              </w:numPr>
              <w:spacing w:before="60" w:after="60"/>
              <w:rPr>
                <w:sz w:val="24"/>
                <w:szCs w:val="24"/>
              </w:rPr>
            </w:pPr>
            <w:r w:rsidRPr="3A98BE57">
              <w:rPr>
                <w:sz w:val="24"/>
                <w:szCs w:val="24"/>
              </w:rPr>
              <w:t xml:space="preserve">The University’s plans needed to be continually cognisant of the wider strategy for the </w:t>
            </w:r>
            <w:proofErr w:type="gramStart"/>
            <w:r w:rsidRPr="3A98BE57">
              <w:rPr>
                <w:sz w:val="24"/>
                <w:szCs w:val="24"/>
              </w:rPr>
              <w:t>City</w:t>
            </w:r>
            <w:proofErr w:type="gramEnd"/>
            <w:r w:rsidRPr="3A98BE57">
              <w:rPr>
                <w:sz w:val="24"/>
                <w:szCs w:val="24"/>
              </w:rPr>
              <w:t xml:space="preserve"> and the development of the Sheffield urban environment. </w:t>
            </w:r>
          </w:p>
        </w:tc>
      </w:tr>
      <w:tr w:rsidR="00FC69B5" w:rsidRPr="00EE70CB" w14:paraId="3F8A5802" w14:textId="77777777" w:rsidTr="3A98BE57">
        <w:tc>
          <w:tcPr>
            <w:tcW w:w="1560" w:type="dxa"/>
            <w:tcBorders>
              <w:top w:val="nil"/>
              <w:bottom w:val="nil"/>
            </w:tcBorders>
          </w:tcPr>
          <w:p w14:paraId="5D04FD56" w14:textId="6C2A30C5" w:rsidR="00FC69B5" w:rsidRDefault="00FC69B5" w:rsidP="00FC69B5">
            <w:pPr>
              <w:spacing w:before="60" w:after="60"/>
              <w:ind w:left="-106" w:right="-108"/>
              <w:rPr>
                <w:sz w:val="24"/>
                <w:szCs w:val="24"/>
              </w:rPr>
            </w:pPr>
            <w:r>
              <w:rPr>
                <w:sz w:val="24"/>
                <w:szCs w:val="24"/>
              </w:rPr>
              <w:lastRenderedPageBreak/>
              <w:t>7.2</w:t>
            </w:r>
          </w:p>
        </w:tc>
        <w:tc>
          <w:tcPr>
            <w:tcW w:w="8647" w:type="dxa"/>
            <w:gridSpan w:val="2"/>
            <w:tcBorders>
              <w:top w:val="nil"/>
              <w:bottom w:val="nil"/>
            </w:tcBorders>
          </w:tcPr>
          <w:p w14:paraId="2377A1E3" w14:textId="3B3A669A" w:rsidR="00FC69B5" w:rsidRDefault="00FC69B5" w:rsidP="00FC69B5">
            <w:pPr>
              <w:spacing w:before="60" w:after="60"/>
              <w:rPr>
                <w:sz w:val="24"/>
                <w:szCs w:val="24"/>
              </w:rPr>
            </w:pPr>
            <w:r w:rsidRPr="3A98BE57">
              <w:rPr>
                <w:sz w:val="24"/>
                <w:szCs w:val="24"/>
              </w:rPr>
              <w:t xml:space="preserve">In responding to questions from Members, the GDI&amp;C provided details on early potential options appraisals in relation to buildings at Collegiate, noting the specialist facilities of some buildings and where challenges and opportunities existed in others. It was important that sequencing was carefully considered to ensure access was not disrupted to key learning services including specialist facilities and library provision.    </w:t>
            </w:r>
          </w:p>
        </w:tc>
      </w:tr>
      <w:tr w:rsidR="00FC69B5" w:rsidRPr="00EE70CB" w14:paraId="0C16B4BE" w14:textId="77777777" w:rsidTr="3A98BE57">
        <w:tc>
          <w:tcPr>
            <w:tcW w:w="1560" w:type="dxa"/>
            <w:tcBorders>
              <w:top w:val="nil"/>
              <w:bottom w:val="nil"/>
            </w:tcBorders>
          </w:tcPr>
          <w:p w14:paraId="37D9980E" w14:textId="6BE08B70" w:rsidR="00FC69B5" w:rsidRDefault="00FC69B5" w:rsidP="00FC69B5">
            <w:pPr>
              <w:spacing w:before="60" w:after="60"/>
              <w:ind w:left="-106" w:right="-108"/>
              <w:rPr>
                <w:sz w:val="24"/>
                <w:szCs w:val="24"/>
              </w:rPr>
            </w:pPr>
            <w:r>
              <w:rPr>
                <w:sz w:val="24"/>
                <w:szCs w:val="24"/>
              </w:rPr>
              <w:t>7.3</w:t>
            </w:r>
          </w:p>
        </w:tc>
        <w:tc>
          <w:tcPr>
            <w:tcW w:w="8647" w:type="dxa"/>
            <w:gridSpan w:val="2"/>
            <w:tcBorders>
              <w:top w:val="nil"/>
              <w:bottom w:val="nil"/>
            </w:tcBorders>
          </w:tcPr>
          <w:p w14:paraId="31AB1A24" w14:textId="20354F04" w:rsidR="00FC69B5" w:rsidRPr="00E3531E" w:rsidRDefault="00FC69B5" w:rsidP="00FC69B5">
            <w:pPr>
              <w:spacing w:before="60" w:after="60"/>
              <w:rPr>
                <w:sz w:val="24"/>
                <w:szCs w:val="24"/>
              </w:rPr>
            </w:pPr>
            <w:r>
              <w:rPr>
                <w:sz w:val="24"/>
                <w:szCs w:val="24"/>
              </w:rPr>
              <w:t>A confidential minute was recorded.</w:t>
            </w:r>
          </w:p>
        </w:tc>
      </w:tr>
      <w:tr w:rsidR="00FC69B5" w:rsidRPr="00EE70CB" w14:paraId="421F9695" w14:textId="77777777" w:rsidTr="3A98BE57">
        <w:tc>
          <w:tcPr>
            <w:tcW w:w="1560" w:type="dxa"/>
            <w:tcBorders>
              <w:top w:val="nil"/>
              <w:bottom w:val="nil"/>
            </w:tcBorders>
          </w:tcPr>
          <w:p w14:paraId="71850430" w14:textId="77777777" w:rsidR="00FC69B5" w:rsidRDefault="00FC69B5" w:rsidP="00FC69B5">
            <w:pPr>
              <w:spacing w:before="60" w:after="60"/>
              <w:ind w:left="-106" w:right="-108"/>
              <w:rPr>
                <w:sz w:val="24"/>
                <w:szCs w:val="24"/>
              </w:rPr>
            </w:pPr>
          </w:p>
        </w:tc>
        <w:tc>
          <w:tcPr>
            <w:tcW w:w="8647" w:type="dxa"/>
            <w:gridSpan w:val="2"/>
            <w:tcBorders>
              <w:top w:val="nil"/>
              <w:bottom w:val="nil"/>
            </w:tcBorders>
          </w:tcPr>
          <w:p w14:paraId="16FEA57E" w14:textId="6D289A8F" w:rsidR="00FC69B5" w:rsidRPr="00E3531E" w:rsidRDefault="00FC69B5" w:rsidP="00FC69B5">
            <w:pPr>
              <w:spacing w:before="60" w:after="60"/>
              <w:rPr>
                <w:sz w:val="24"/>
                <w:szCs w:val="24"/>
                <w:highlight w:val="yellow"/>
              </w:rPr>
            </w:pPr>
            <w:r w:rsidRPr="00E3531E">
              <w:rPr>
                <w:b/>
                <w:bCs/>
                <w:sz w:val="24"/>
                <w:szCs w:val="24"/>
              </w:rPr>
              <w:t>Action:</w:t>
            </w:r>
            <w:r w:rsidRPr="00E3531E">
              <w:rPr>
                <w:rFonts w:eastAsia="Times New Roman"/>
                <w:b/>
                <w:bCs/>
                <w:sz w:val="24"/>
                <w:szCs w:val="24"/>
              </w:rPr>
              <w:t xml:space="preserve"> GDI&amp;I</w:t>
            </w:r>
            <w:r w:rsidRPr="00E3531E">
              <w:rPr>
                <w:rFonts w:eastAsia="Times New Roman"/>
                <w:sz w:val="24"/>
                <w:szCs w:val="24"/>
              </w:rPr>
              <w:t xml:space="preserve"> </w:t>
            </w:r>
            <w:r>
              <w:rPr>
                <w:rFonts w:eastAsia="Times New Roman"/>
                <w:sz w:val="24"/>
                <w:szCs w:val="24"/>
              </w:rPr>
              <w:t xml:space="preserve">to present options for Phase 2 of the Campus Plan to a future meeting. </w:t>
            </w:r>
            <w:r w:rsidRPr="00E3531E">
              <w:rPr>
                <w:rFonts w:eastAsia="Times New Roman"/>
                <w:sz w:val="24"/>
                <w:szCs w:val="24"/>
              </w:rPr>
              <w:t xml:space="preserve">  </w:t>
            </w:r>
          </w:p>
        </w:tc>
      </w:tr>
      <w:tr w:rsidR="00FC69B5" w:rsidRPr="008A753B" w14:paraId="3B28120E" w14:textId="77777777" w:rsidTr="3A98BE57">
        <w:tc>
          <w:tcPr>
            <w:tcW w:w="1560" w:type="dxa"/>
            <w:tcBorders>
              <w:top w:val="single" w:sz="4" w:space="0" w:color="auto"/>
              <w:bottom w:val="single" w:sz="4" w:space="0" w:color="auto"/>
            </w:tcBorders>
            <w:shd w:val="clear" w:color="auto" w:fill="D9D9D9" w:themeFill="background1" w:themeFillShade="D9"/>
          </w:tcPr>
          <w:p w14:paraId="1EE39D2D" w14:textId="6FB8F2DD" w:rsidR="00FC69B5" w:rsidRPr="008A753B" w:rsidRDefault="00FC69B5" w:rsidP="00FC69B5">
            <w:pPr>
              <w:pStyle w:val="Heading3"/>
              <w:spacing w:before="60" w:after="60"/>
              <w:ind w:left="-106" w:right="-108"/>
              <w:rPr>
                <w:sz w:val="24"/>
              </w:rPr>
            </w:pPr>
            <w:r>
              <w:t>FEC/</w:t>
            </w:r>
            <w:r w:rsidR="0066126F">
              <w:t>2023-05-03</w:t>
            </w:r>
            <w:r>
              <w:t>/8</w:t>
            </w:r>
          </w:p>
        </w:tc>
        <w:tc>
          <w:tcPr>
            <w:tcW w:w="6663" w:type="dxa"/>
            <w:tcBorders>
              <w:top w:val="single" w:sz="4" w:space="0" w:color="auto"/>
              <w:bottom w:val="single" w:sz="4" w:space="0" w:color="auto"/>
            </w:tcBorders>
            <w:shd w:val="clear" w:color="auto" w:fill="D9D9D9" w:themeFill="background1" w:themeFillShade="D9"/>
          </w:tcPr>
          <w:p w14:paraId="1D1183D1" w14:textId="32A6121C" w:rsidR="00FC69B5" w:rsidRPr="008A753B" w:rsidRDefault="00FC69B5" w:rsidP="00FC69B5">
            <w:pPr>
              <w:pStyle w:val="Heading2"/>
            </w:pPr>
            <w:r>
              <w:rPr>
                <w:bCs/>
                <w:szCs w:val="24"/>
              </w:rPr>
              <w:t>TECHNOLOGY STRATEGY REPORT</w:t>
            </w:r>
          </w:p>
        </w:tc>
        <w:tc>
          <w:tcPr>
            <w:tcW w:w="1984" w:type="dxa"/>
            <w:tcBorders>
              <w:top w:val="single" w:sz="4" w:space="0" w:color="auto"/>
              <w:bottom w:val="single" w:sz="4" w:space="0" w:color="auto"/>
            </w:tcBorders>
            <w:shd w:val="clear" w:color="auto" w:fill="D9D9D9" w:themeFill="background1" w:themeFillShade="D9"/>
          </w:tcPr>
          <w:p w14:paraId="03AA666D" w14:textId="23543F3F" w:rsidR="00FC69B5" w:rsidRPr="00CF367D" w:rsidRDefault="00FC69B5" w:rsidP="00FC69B5">
            <w:pPr>
              <w:pStyle w:val="Heading3"/>
              <w:spacing w:before="60" w:after="60"/>
              <w:ind w:left="-113" w:right="-110"/>
              <w:jc w:val="right"/>
            </w:pPr>
            <w:r>
              <w:t>FEC/</w:t>
            </w:r>
            <w:r w:rsidR="0066126F">
              <w:t>2023-05-03</w:t>
            </w:r>
            <w:r>
              <w:t>/P8</w:t>
            </w:r>
          </w:p>
        </w:tc>
      </w:tr>
      <w:tr w:rsidR="00FC69B5" w:rsidRPr="00820AC3" w14:paraId="051F6C7E" w14:textId="77777777" w:rsidTr="3A98BE57">
        <w:tc>
          <w:tcPr>
            <w:tcW w:w="1560" w:type="dxa"/>
            <w:tcBorders>
              <w:top w:val="single" w:sz="4" w:space="0" w:color="auto"/>
              <w:bottom w:val="nil"/>
            </w:tcBorders>
          </w:tcPr>
          <w:p w14:paraId="0B496E3E" w14:textId="36116025" w:rsidR="00FC69B5" w:rsidRPr="008A753B" w:rsidRDefault="00FC69B5" w:rsidP="00FC69B5">
            <w:pPr>
              <w:spacing w:before="60" w:after="60"/>
              <w:ind w:left="-106" w:right="-108"/>
              <w:rPr>
                <w:sz w:val="24"/>
                <w:szCs w:val="24"/>
              </w:rPr>
            </w:pPr>
            <w:r>
              <w:rPr>
                <w:sz w:val="24"/>
                <w:szCs w:val="24"/>
              </w:rPr>
              <w:t>8.1</w:t>
            </w:r>
          </w:p>
        </w:tc>
        <w:tc>
          <w:tcPr>
            <w:tcW w:w="8647" w:type="dxa"/>
            <w:gridSpan w:val="2"/>
            <w:tcBorders>
              <w:top w:val="single" w:sz="4" w:space="0" w:color="auto"/>
              <w:bottom w:val="nil"/>
            </w:tcBorders>
          </w:tcPr>
          <w:p w14:paraId="03B951CB" w14:textId="77D46ADC" w:rsidR="00FC69B5" w:rsidRPr="00B62930" w:rsidRDefault="00FC69B5" w:rsidP="00FC69B5">
            <w:pPr>
              <w:spacing w:before="60" w:after="60"/>
              <w:rPr>
                <w:sz w:val="24"/>
                <w:szCs w:val="24"/>
                <w:highlight w:val="yellow"/>
              </w:rPr>
            </w:pPr>
            <w:r w:rsidRPr="3A98BE57">
              <w:rPr>
                <w:sz w:val="24"/>
                <w:szCs w:val="24"/>
              </w:rPr>
              <w:t xml:space="preserve">The Committee received an update from the GDI&amp;C and the Head of Digital Architecture on progress since the last meeting. </w:t>
            </w:r>
            <w:r w:rsidRPr="00C05B76">
              <w:rPr>
                <w:sz w:val="24"/>
                <w:szCs w:val="24"/>
              </w:rPr>
              <w:t>It was reported that:</w:t>
            </w:r>
          </w:p>
          <w:p w14:paraId="20DC36C5" w14:textId="054FFFB0" w:rsidR="00FC69B5" w:rsidRPr="00C05B76" w:rsidRDefault="00FC69B5" w:rsidP="00FC69B5">
            <w:pPr>
              <w:pStyle w:val="ListParagraph"/>
              <w:numPr>
                <w:ilvl w:val="0"/>
                <w:numId w:val="4"/>
              </w:numPr>
              <w:spacing w:before="60" w:after="60"/>
              <w:rPr>
                <w:sz w:val="24"/>
                <w:szCs w:val="24"/>
              </w:rPr>
            </w:pPr>
            <w:r w:rsidRPr="00C05B76">
              <w:rPr>
                <w:sz w:val="24"/>
                <w:szCs w:val="24"/>
              </w:rPr>
              <w:t xml:space="preserve">A key development issue was around systems integration and enabling data to </w:t>
            </w:r>
            <w:r>
              <w:rPr>
                <w:sz w:val="24"/>
                <w:szCs w:val="24"/>
              </w:rPr>
              <w:t>be managed and used</w:t>
            </w:r>
            <w:r w:rsidRPr="00C05B76">
              <w:rPr>
                <w:sz w:val="24"/>
                <w:szCs w:val="24"/>
              </w:rPr>
              <w:t xml:space="preserve"> intuitively and efficiently</w:t>
            </w:r>
            <w:r>
              <w:rPr>
                <w:sz w:val="24"/>
                <w:szCs w:val="24"/>
              </w:rPr>
              <w:t>.</w:t>
            </w:r>
          </w:p>
          <w:p w14:paraId="5BAC8962" w14:textId="2D635A4F" w:rsidR="00FC69B5" w:rsidRPr="00FC69B5" w:rsidRDefault="00FC69B5" w:rsidP="00FC69B5">
            <w:pPr>
              <w:pStyle w:val="ListParagraph"/>
              <w:numPr>
                <w:ilvl w:val="0"/>
                <w:numId w:val="4"/>
              </w:numPr>
              <w:spacing w:before="60" w:after="60"/>
              <w:rPr>
                <w:sz w:val="24"/>
                <w:szCs w:val="24"/>
              </w:rPr>
            </w:pPr>
            <w:r w:rsidRPr="00C05B76">
              <w:rPr>
                <w:sz w:val="24"/>
                <w:szCs w:val="24"/>
              </w:rPr>
              <w:t xml:space="preserve">Core projects were concentrated around SITS and the implementation of HESA Data Futures which were being </w:t>
            </w:r>
            <w:r w:rsidRPr="00E3531E">
              <w:rPr>
                <w:sz w:val="24"/>
                <w:szCs w:val="24"/>
              </w:rPr>
              <w:t xml:space="preserve">tracked at an institutional risk level. </w:t>
            </w:r>
            <w:r w:rsidRPr="00E3531E">
              <w:rPr>
                <w:rFonts w:eastAsia="Times New Roman"/>
                <w:sz w:val="24"/>
                <w:szCs w:val="24"/>
              </w:rPr>
              <w:t>A key milestone would be met in late May when an interim report had to be provided to HESA using the new functionality.</w:t>
            </w:r>
          </w:p>
        </w:tc>
      </w:tr>
      <w:tr w:rsidR="00FC69B5" w:rsidRPr="00820AC3" w14:paraId="1E2BA69E" w14:textId="77777777" w:rsidTr="3A98BE57">
        <w:tc>
          <w:tcPr>
            <w:tcW w:w="1560" w:type="dxa"/>
            <w:tcBorders>
              <w:top w:val="single" w:sz="4" w:space="0" w:color="auto"/>
              <w:bottom w:val="nil"/>
            </w:tcBorders>
          </w:tcPr>
          <w:p w14:paraId="55CFBBB3" w14:textId="5D1DAB2A" w:rsidR="00FC69B5" w:rsidRDefault="00FC69B5" w:rsidP="00FC69B5">
            <w:pPr>
              <w:spacing w:before="60" w:after="60"/>
              <w:ind w:left="-106" w:right="-108"/>
              <w:rPr>
                <w:sz w:val="24"/>
                <w:szCs w:val="24"/>
              </w:rPr>
            </w:pPr>
            <w:r>
              <w:rPr>
                <w:sz w:val="24"/>
                <w:szCs w:val="24"/>
              </w:rPr>
              <w:t>8.2</w:t>
            </w:r>
          </w:p>
        </w:tc>
        <w:tc>
          <w:tcPr>
            <w:tcW w:w="8647" w:type="dxa"/>
            <w:gridSpan w:val="2"/>
            <w:tcBorders>
              <w:top w:val="single" w:sz="4" w:space="0" w:color="auto"/>
              <w:bottom w:val="nil"/>
            </w:tcBorders>
          </w:tcPr>
          <w:p w14:paraId="1D609B1F" w14:textId="760AEFFF" w:rsidR="00FC69B5" w:rsidRPr="00FC69B5" w:rsidRDefault="00FC69B5" w:rsidP="00FC69B5">
            <w:pPr>
              <w:spacing w:before="60" w:after="60"/>
              <w:rPr>
                <w:sz w:val="24"/>
                <w:szCs w:val="24"/>
              </w:rPr>
            </w:pPr>
            <w:r w:rsidRPr="00FC69B5">
              <w:rPr>
                <w:sz w:val="24"/>
                <w:szCs w:val="24"/>
              </w:rPr>
              <w:t>A confidential minute was recorded</w:t>
            </w:r>
          </w:p>
        </w:tc>
      </w:tr>
      <w:tr w:rsidR="00FC69B5" w:rsidRPr="00820AC3" w14:paraId="221A001D" w14:textId="77777777" w:rsidTr="3A98BE57">
        <w:tc>
          <w:tcPr>
            <w:tcW w:w="1560" w:type="dxa"/>
            <w:tcBorders>
              <w:top w:val="nil"/>
              <w:bottom w:val="nil"/>
            </w:tcBorders>
          </w:tcPr>
          <w:p w14:paraId="2191C2DD" w14:textId="23E6A2C4" w:rsidR="00FC69B5" w:rsidRDefault="00FC69B5" w:rsidP="00FC69B5">
            <w:pPr>
              <w:spacing w:before="60" w:after="60"/>
              <w:ind w:left="-106" w:right="-108"/>
              <w:rPr>
                <w:sz w:val="24"/>
                <w:szCs w:val="24"/>
              </w:rPr>
            </w:pPr>
            <w:r>
              <w:rPr>
                <w:sz w:val="24"/>
                <w:szCs w:val="24"/>
              </w:rPr>
              <w:t>8.3</w:t>
            </w:r>
          </w:p>
        </w:tc>
        <w:tc>
          <w:tcPr>
            <w:tcW w:w="8647" w:type="dxa"/>
            <w:gridSpan w:val="2"/>
            <w:tcBorders>
              <w:top w:val="nil"/>
              <w:bottom w:val="nil"/>
            </w:tcBorders>
          </w:tcPr>
          <w:p w14:paraId="02F23CFA" w14:textId="5B94B04E" w:rsidR="00FC69B5" w:rsidRPr="00FC69B5" w:rsidRDefault="00FC69B5" w:rsidP="00FC69B5">
            <w:pPr>
              <w:spacing w:before="60" w:after="60"/>
              <w:rPr>
                <w:sz w:val="24"/>
                <w:szCs w:val="24"/>
              </w:rPr>
            </w:pPr>
            <w:r w:rsidRPr="00FC69B5">
              <w:rPr>
                <w:sz w:val="24"/>
                <w:szCs w:val="24"/>
              </w:rPr>
              <w:t>A confidential minute was recorded.</w:t>
            </w:r>
          </w:p>
        </w:tc>
      </w:tr>
      <w:tr w:rsidR="00FC69B5" w:rsidRPr="008A753B" w14:paraId="7DB4377C" w14:textId="77777777" w:rsidTr="3A98BE57">
        <w:tc>
          <w:tcPr>
            <w:tcW w:w="1560" w:type="dxa"/>
            <w:tcBorders>
              <w:top w:val="single" w:sz="4" w:space="0" w:color="auto"/>
              <w:bottom w:val="single" w:sz="4" w:space="0" w:color="auto"/>
            </w:tcBorders>
            <w:shd w:val="clear" w:color="auto" w:fill="D9D9D9" w:themeFill="background1" w:themeFillShade="D9"/>
          </w:tcPr>
          <w:p w14:paraId="4F61D3FB" w14:textId="08E65A94" w:rsidR="00FC69B5" w:rsidRPr="008A753B" w:rsidRDefault="00FC69B5" w:rsidP="00FC69B5">
            <w:pPr>
              <w:pStyle w:val="Heading3"/>
              <w:spacing w:before="60" w:after="60"/>
              <w:ind w:left="-106" w:right="-108"/>
              <w:rPr>
                <w:sz w:val="24"/>
              </w:rPr>
            </w:pPr>
            <w:bookmarkStart w:id="6" w:name="_Hlk114509277"/>
            <w:bookmarkEnd w:id="2"/>
            <w:bookmarkEnd w:id="3"/>
            <w:bookmarkEnd w:id="4"/>
            <w:bookmarkEnd w:id="5"/>
            <w:r>
              <w:t>FEC/</w:t>
            </w:r>
            <w:r w:rsidR="0066126F">
              <w:t>2023-05-03</w:t>
            </w:r>
            <w:r>
              <w:t>/</w:t>
            </w:r>
            <w:r w:rsidR="000C3E1C">
              <w:t>9</w:t>
            </w:r>
          </w:p>
        </w:tc>
        <w:tc>
          <w:tcPr>
            <w:tcW w:w="6663" w:type="dxa"/>
            <w:tcBorders>
              <w:top w:val="single" w:sz="4" w:space="0" w:color="auto"/>
              <w:bottom w:val="single" w:sz="4" w:space="0" w:color="auto"/>
            </w:tcBorders>
            <w:shd w:val="clear" w:color="auto" w:fill="D9D9D9" w:themeFill="background1" w:themeFillShade="D9"/>
          </w:tcPr>
          <w:p w14:paraId="770E19F9" w14:textId="1738DDCD" w:rsidR="00FC69B5" w:rsidRPr="008A753B" w:rsidRDefault="00FC69B5" w:rsidP="00FC69B5">
            <w:pPr>
              <w:pStyle w:val="Heading2"/>
            </w:pPr>
            <w:r>
              <w:rPr>
                <w:bCs/>
                <w:szCs w:val="24"/>
              </w:rPr>
              <w:t>HUMAN RESOURCE AND ORGANISATIONAL DEVELOPMENT (HROD)</w:t>
            </w:r>
            <w:r w:rsidR="000C3E1C">
              <w:rPr>
                <w:bCs/>
                <w:szCs w:val="24"/>
              </w:rPr>
              <w:t xml:space="preserve"> </w:t>
            </w:r>
            <w:r>
              <w:rPr>
                <w:bCs/>
                <w:szCs w:val="24"/>
              </w:rPr>
              <w:t xml:space="preserve">MATTERS </w:t>
            </w:r>
          </w:p>
        </w:tc>
        <w:tc>
          <w:tcPr>
            <w:tcW w:w="1984" w:type="dxa"/>
            <w:tcBorders>
              <w:top w:val="single" w:sz="4" w:space="0" w:color="auto"/>
              <w:bottom w:val="single" w:sz="4" w:space="0" w:color="auto"/>
            </w:tcBorders>
            <w:shd w:val="clear" w:color="auto" w:fill="D9D9D9" w:themeFill="background1" w:themeFillShade="D9"/>
          </w:tcPr>
          <w:p w14:paraId="730764D5" w14:textId="77777777" w:rsidR="00FC69B5" w:rsidRPr="00627D42" w:rsidRDefault="00FC69B5" w:rsidP="00FC69B5">
            <w:pPr>
              <w:pStyle w:val="Heading3"/>
              <w:spacing w:before="60" w:after="60"/>
              <w:ind w:left="-113" w:right="-110"/>
              <w:jc w:val="right"/>
            </w:pPr>
          </w:p>
        </w:tc>
      </w:tr>
      <w:tr w:rsidR="00FC69B5" w:rsidRPr="008A753B" w14:paraId="20E908BC" w14:textId="77777777" w:rsidTr="3A98BE57">
        <w:tc>
          <w:tcPr>
            <w:tcW w:w="1560" w:type="dxa"/>
            <w:tcBorders>
              <w:top w:val="single" w:sz="4" w:space="0" w:color="auto"/>
              <w:bottom w:val="nil"/>
            </w:tcBorders>
          </w:tcPr>
          <w:p w14:paraId="05C196D9" w14:textId="77777777" w:rsidR="00FC69B5" w:rsidRPr="008A753B" w:rsidRDefault="00FC69B5" w:rsidP="00FC69B5">
            <w:pPr>
              <w:spacing w:before="60" w:after="60"/>
              <w:ind w:left="-106" w:right="-108"/>
              <w:rPr>
                <w:sz w:val="24"/>
                <w:szCs w:val="24"/>
              </w:rPr>
            </w:pPr>
          </w:p>
        </w:tc>
        <w:tc>
          <w:tcPr>
            <w:tcW w:w="6663" w:type="dxa"/>
            <w:tcBorders>
              <w:top w:val="single" w:sz="4" w:space="0" w:color="auto"/>
              <w:bottom w:val="nil"/>
            </w:tcBorders>
          </w:tcPr>
          <w:p w14:paraId="6EC4AD9D" w14:textId="592E7927" w:rsidR="00FC69B5" w:rsidRPr="00B47C9B" w:rsidRDefault="00FC69B5" w:rsidP="00FC69B5">
            <w:pPr>
              <w:spacing w:before="60" w:after="60"/>
              <w:rPr>
                <w:b/>
                <w:bCs/>
                <w:sz w:val="24"/>
                <w:szCs w:val="24"/>
              </w:rPr>
            </w:pPr>
            <w:r>
              <w:rPr>
                <w:b/>
                <w:bCs/>
                <w:sz w:val="24"/>
                <w:szCs w:val="24"/>
              </w:rPr>
              <w:t xml:space="preserve">People Plan Report </w:t>
            </w:r>
          </w:p>
        </w:tc>
        <w:tc>
          <w:tcPr>
            <w:tcW w:w="1984" w:type="dxa"/>
            <w:tcBorders>
              <w:top w:val="single" w:sz="4" w:space="0" w:color="auto"/>
              <w:bottom w:val="nil"/>
            </w:tcBorders>
          </w:tcPr>
          <w:p w14:paraId="0A455560" w14:textId="3A92F144" w:rsidR="00FC69B5" w:rsidRPr="00820AC3" w:rsidRDefault="00FC69B5" w:rsidP="00FC69B5">
            <w:pPr>
              <w:pStyle w:val="Heading3"/>
              <w:spacing w:before="60" w:after="60"/>
              <w:ind w:left="-113" w:right="-110"/>
              <w:jc w:val="right"/>
            </w:pPr>
            <w:r w:rsidRPr="00820AC3">
              <w:t>FEC/</w:t>
            </w:r>
            <w:r w:rsidR="0066126F">
              <w:t>2023-05-03</w:t>
            </w:r>
            <w:r w:rsidRPr="00820AC3">
              <w:t>/P</w:t>
            </w:r>
            <w:r>
              <w:t>9.1</w:t>
            </w:r>
          </w:p>
        </w:tc>
      </w:tr>
      <w:tr w:rsidR="00FC69B5" w:rsidRPr="008A753B" w14:paraId="440EA2C8" w14:textId="77777777" w:rsidTr="3A98BE57">
        <w:tc>
          <w:tcPr>
            <w:tcW w:w="1560" w:type="dxa"/>
            <w:tcBorders>
              <w:top w:val="nil"/>
              <w:bottom w:val="nil"/>
            </w:tcBorders>
          </w:tcPr>
          <w:p w14:paraId="2700EB5E" w14:textId="77777777" w:rsidR="00FC69B5" w:rsidRDefault="00FC69B5" w:rsidP="00FC69B5">
            <w:pPr>
              <w:spacing w:before="60" w:after="60"/>
              <w:ind w:left="-106" w:right="-108"/>
              <w:rPr>
                <w:sz w:val="24"/>
                <w:szCs w:val="24"/>
              </w:rPr>
            </w:pPr>
            <w:r>
              <w:rPr>
                <w:sz w:val="24"/>
                <w:szCs w:val="24"/>
              </w:rPr>
              <w:t>9.1</w:t>
            </w:r>
          </w:p>
        </w:tc>
        <w:tc>
          <w:tcPr>
            <w:tcW w:w="8647" w:type="dxa"/>
            <w:gridSpan w:val="2"/>
            <w:tcBorders>
              <w:top w:val="nil"/>
              <w:bottom w:val="nil"/>
            </w:tcBorders>
          </w:tcPr>
          <w:p w14:paraId="104F0F67" w14:textId="527ACF55" w:rsidR="00FC69B5" w:rsidRPr="00FC69B5" w:rsidRDefault="00FC69B5" w:rsidP="00FC69B5">
            <w:pPr>
              <w:spacing w:before="60" w:after="60"/>
              <w:rPr>
                <w:color w:val="000000" w:themeColor="text1"/>
                <w:sz w:val="24"/>
                <w:szCs w:val="24"/>
              </w:rPr>
            </w:pPr>
            <w:r w:rsidRPr="00FC69B5">
              <w:rPr>
                <w:color w:val="000000" w:themeColor="text1"/>
                <w:sz w:val="24"/>
                <w:szCs w:val="24"/>
              </w:rPr>
              <w:t>A confidential minute was recorded.</w:t>
            </w:r>
            <w:r w:rsidRPr="00FC69B5">
              <w:rPr>
                <w:sz w:val="24"/>
                <w:szCs w:val="24"/>
              </w:rPr>
              <w:t xml:space="preserve">   </w:t>
            </w:r>
          </w:p>
        </w:tc>
      </w:tr>
      <w:tr w:rsidR="00FC69B5" w:rsidRPr="008A753B" w14:paraId="29BC90AA" w14:textId="77777777" w:rsidTr="3A98BE57">
        <w:tc>
          <w:tcPr>
            <w:tcW w:w="1560" w:type="dxa"/>
            <w:tcBorders>
              <w:top w:val="nil"/>
              <w:bottom w:val="nil"/>
            </w:tcBorders>
          </w:tcPr>
          <w:p w14:paraId="0087ADA0" w14:textId="614C0E1E" w:rsidR="00FC69B5" w:rsidRDefault="00FC69B5" w:rsidP="00FC69B5">
            <w:pPr>
              <w:spacing w:before="60" w:after="60"/>
              <w:ind w:left="-106" w:right="-108"/>
              <w:rPr>
                <w:sz w:val="24"/>
                <w:szCs w:val="24"/>
              </w:rPr>
            </w:pPr>
            <w:r>
              <w:rPr>
                <w:sz w:val="24"/>
                <w:szCs w:val="24"/>
              </w:rPr>
              <w:t>9.2</w:t>
            </w:r>
          </w:p>
        </w:tc>
        <w:tc>
          <w:tcPr>
            <w:tcW w:w="8647" w:type="dxa"/>
            <w:gridSpan w:val="2"/>
            <w:tcBorders>
              <w:top w:val="nil"/>
              <w:bottom w:val="nil"/>
            </w:tcBorders>
          </w:tcPr>
          <w:p w14:paraId="0E95F3F4" w14:textId="08A37F43" w:rsidR="00FC69B5" w:rsidRPr="006B6B49" w:rsidRDefault="00FC69B5" w:rsidP="00FC69B5">
            <w:pPr>
              <w:spacing w:before="60" w:after="60"/>
              <w:rPr>
                <w:color w:val="000000" w:themeColor="text1"/>
                <w:sz w:val="24"/>
                <w:szCs w:val="24"/>
              </w:rPr>
            </w:pPr>
            <w:r w:rsidRPr="00FC69B5">
              <w:rPr>
                <w:color w:val="000000" w:themeColor="text1"/>
                <w:sz w:val="24"/>
                <w:szCs w:val="24"/>
              </w:rPr>
              <w:t>A confidential minute was recorded.</w:t>
            </w:r>
            <w:r w:rsidRPr="00FC69B5">
              <w:rPr>
                <w:sz w:val="24"/>
                <w:szCs w:val="24"/>
              </w:rPr>
              <w:t xml:space="preserve">   </w:t>
            </w:r>
          </w:p>
        </w:tc>
      </w:tr>
      <w:tr w:rsidR="00FC69B5" w:rsidRPr="008A753B" w14:paraId="37906723" w14:textId="77777777" w:rsidTr="3A98BE57">
        <w:tc>
          <w:tcPr>
            <w:tcW w:w="1560" w:type="dxa"/>
            <w:tcBorders>
              <w:top w:val="nil"/>
              <w:bottom w:val="nil"/>
            </w:tcBorders>
          </w:tcPr>
          <w:p w14:paraId="1E2382E0" w14:textId="1F6F001A" w:rsidR="00FC69B5" w:rsidRDefault="00FC69B5" w:rsidP="00FC69B5">
            <w:pPr>
              <w:spacing w:before="60" w:after="60"/>
              <w:ind w:left="-106" w:right="-108"/>
              <w:rPr>
                <w:sz w:val="24"/>
                <w:szCs w:val="24"/>
              </w:rPr>
            </w:pPr>
            <w:r>
              <w:rPr>
                <w:sz w:val="24"/>
                <w:szCs w:val="24"/>
              </w:rPr>
              <w:t>9.3</w:t>
            </w:r>
          </w:p>
        </w:tc>
        <w:tc>
          <w:tcPr>
            <w:tcW w:w="8647" w:type="dxa"/>
            <w:gridSpan w:val="2"/>
            <w:tcBorders>
              <w:top w:val="nil"/>
              <w:bottom w:val="nil"/>
            </w:tcBorders>
          </w:tcPr>
          <w:p w14:paraId="53607C61" w14:textId="719518F3" w:rsidR="00FC69B5" w:rsidRDefault="00FC69B5" w:rsidP="00FC69B5">
            <w:pPr>
              <w:spacing w:before="60" w:after="60"/>
              <w:rPr>
                <w:color w:val="000000" w:themeColor="text1"/>
                <w:sz w:val="24"/>
                <w:szCs w:val="24"/>
              </w:rPr>
            </w:pPr>
            <w:r>
              <w:rPr>
                <w:color w:val="000000" w:themeColor="text1"/>
                <w:sz w:val="24"/>
                <w:szCs w:val="24"/>
              </w:rPr>
              <w:t xml:space="preserve">The Committee </w:t>
            </w:r>
            <w:r w:rsidRPr="00AE2061">
              <w:rPr>
                <w:b/>
                <w:bCs/>
                <w:color w:val="000000" w:themeColor="text1"/>
                <w:sz w:val="24"/>
                <w:szCs w:val="24"/>
              </w:rPr>
              <w:t>noted</w:t>
            </w:r>
            <w:r>
              <w:rPr>
                <w:color w:val="000000" w:themeColor="text1"/>
                <w:sz w:val="24"/>
                <w:szCs w:val="24"/>
              </w:rPr>
              <w:t xml:space="preserve"> the report and </w:t>
            </w:r>
            <w:r>
              <w:rPr>
                <w:b/>
                <w:bCs/>
                <w:color w:val="000000" w:themeColor="text1"/>
                <w:sz w:val="24"/>
                <w:szCs w:val="24"/>
              </w:rPr>
              <w:t>supported</w:t>
            </w:r>
            <w:r>
              <w:rPr>
                <w:color w:val="000000" w:themeColor="text1"/>
                <w:sz w:val="24"/>
                <w:szCs w:val="24"/>
              </w:rPr>
              <w:t xml:space="preserve"> the actions of the University management on the approach to pay deductions.</w:t>
            </w:r>
          </w:p>
        </w:tc>
      </w:tr>
      <w:tr w:rsidR="00FC69B5" w:rsidRPr="008A753B" w14:paraId="79549230" w14:textId="77777777" w:rsidTr="00A057DB">
        <w:tc>
          <w:tcPr>
            <w:tcW w:w="1560" w:type="dxa"/>
            <w:tcBorders>
              <w:top w:val="nil"/>
              <w:bottom w:val="nil"/>
            </w:tcBorders>
          </w:tcPr>
          <w:p w14:paraId="42068600" w14:textId="132577BB" w:rsidR="00FC69B5" w:rsidRDefault="00FC69B5" w:rsidP="00FC69B5">
            <w:pPr>
              <w:spacing w:before="60" w:after="60"/>
              <w:ind w:left="-106" w:right="-108"/>
              <w:rPr>
                <w:sz w:val="24"/>
                <w:szCs w:val="24"/>
              </w:rPr>
            </w:pPr>
          </w:p>
        </w:tc>
        <w:tc>
          <w:tcPr>
            <w:tcW w:w="8647" w:type="dxa"/>
            <w:gridSpan w:val="2"/>
            <w:tcBorders>
              <w:top w:val="nil"/>
              <w:bottom w:val="nil"/>
            </w:tcBorders>
          </w:tcPr>
          <w:p w14:paraId="4291BD9C" w14:textId="77777777" w:rsidR="00FC69B5" w:rsidRDefault="00FC69B5" w:rsidP="00FC69B5">
            <w:pPr>
              <w:spacing w:before="60" w:after="60"/>
              <w:rPr>
                <w:rStyle w:val="normaltextrun"/>
                <w:b/>
                <w:bCs/>
                <w:sz w:val="24"/>
                <w:szCs w:val="24"/>
              </w:rPr>
            </w:pPr>
            <w:r w:rsidRPr="009E30DD">
              <w:rPr>
                <w:rStyle w:val="normaltextrun"/>
                <w:b/>
                <w:bCs/>
                <w:sz w:val="24"/>
                <w:szCs w:val="24"/>
              </w:rPr>
              <w:t>Reward and recognition update:</w:t>
            </w:r>
          </w:p>
          <w:p w14:paraId="73931EDB" w14:textId="7DD36074" w:rsidR="00FC69B5" w:rsidRDefault="00FC69B5" w:rsidP="00FC69B5">
            <w:pPr>
              <w:spacing w:before="60" w:after="60"/>
              <w:rPr>
                <w:sz w:val="24"/>
                <w:szCs w:val="24"/>
              </w:rPr>
            </w:pPr>
            <w:r>
              <w:rPr>
                <w:sz w:val="24"/>
                <w:szCs w:val="24"/>
              </w:rPr>
              <w:t>The Chief People Officer, Pro Vice-Chancellor (Diversity &amp; Inclusion) reported:</w:t>
            </w:r>
          </w:p>
          <w:p w14:paraId="4F6750A2" w14:textId="1F4F1D10" w:rsidR="00FC69B5" w:rsidRDefault="00FC69B5" w:rsidP="00FC69B5">
            <w:pPr>
              <w:pStyle w:val="ListParagraph"/>
              <w:numPr>
                <w:ilvl w:val="0"/>
                <w:numId w:val="7"/>
              </w:numPr>
              <w:spacing w:before="60" w:after="60"/>
              <w:rPr>
                <w:rStyle w:val="normaltextrun"/>
                <w:sz w:val="24"/>
                <w:szCs w:val="24"/>
              </w:rPr>
            </w:pPr>
            <w:r>
              <w:rPr>
                <w:rStyle w:val="normaltextrun"/>
                <w:sz w:val="24"/>
                <w:szCs w:val="24"/>
              </w:rPr>
              <w:t>The University was working with an external company to lead workshops on the reward and recognition offer to understand the position of the University within the wider recruitment marketplace.</w:t>
            </w:r>
          </w:p>
          <w:p w14:paraId="02930BA1" w14:textId="7E2E81F5" w:rsidR="00FC69B5" w:rsidRDefault="00FC69B5" w:rsidP="00FC69B5">
            <w:pPr>
              <w:pStyle w:val="ListParagraph"/>
              <w:numPr>
                <w:ilvl w:val="0"/>
                <w:numId w:val="7"/>
              </w:numPr>
              <w:spacing w:before="60" w:after="60"/>
              <w:rPr>
                <w:rStyle w:val="normaltextrun"/>
                <w:sz w:val="24"/>
                <w:szCs w:val="24"/>
              </w:rPr>
            </w:pPr>
            <w:r>
              <w:rPr>
                <w:rStyle w:val="normaltextrun"/>
                <w:sz w:val="24"/>
                <w:szCs w:val="24"/>
              </w:rPr>
              <w:t xml:space="preserve">Some desk-based research had been conducted considering the user experience of competitor and comparator institutions. The University benchmarked well in some areas and some development opportunities were identified. </w:t>
            </w:r>
          </w:p>
          <w:p w14:paraId="50C7A069" w14:textId="186DBF34" w:rsidR="00FC69B5" w:rsidRDefault="00FC69B5" w:rsidP="00FC69B5">
            <w:pPr>
              <w:pStyle w:val="ListParagraph"/>
              <w:numPr>
                <w:ilvl w:val="0"/>
                <w:numId w:val="7"/>
              </w:numPr>
              <w:spacing w:before="60" w:after="60"/>
              <w:rPr>
                <w:rStyle w:val="normaltextrun"/>
                <w:sz w:val="24"/>
                <w:szCs w:val="24"/>
              </w:rPr>
            </w:pPr>
            <w:r>
              <w:rPr>
                <w:rStyle w:val="normaltextrun"/>
                <w:sz w:val="24"/>
                <w:szCs w:val="24"/>
              </w:rPr>
              <w:t xml:space="preserve">Other potential factors driving staff attrition were being explored, including salary, career development and advancement and sustainability perceptions.  </w:t>
            </w:r>
          </w:p>
          <w:p w14:paraId="2B326D9D" w14:textId="7CEEB38E" w:rsidR="00FC69B5" w:rsidRDefault="00FC69B5" w:rsidP="00FC69B5">
            <w:pPr>
              <w:pStyle w:val="ListParagraph"/>
              <w:numPr>
                <w:ilvl w:val="0"/>
                <w:numId w:val="7"/>
              </w:numPr>
              <w:spacing w:before="60" w:after="60"/>
              <w:rPr>
                <w:rStyle w:val="normaltextrun"/>
                <w:sz w:val="24"/>
                <w:szCs w:val="24"/>
              </w:rPr>
            </w:pPr>
            <w:r>
              <w:rPr>
                <w:sz w:val="24"/>
                <w:szCs w:val="24"/>
              </w:rPr>
              <w:lastRenderedPageBreak/>
              <w:t>9.4</w:t>
            </w:r>
            <w:r w:rsidRPr="3A98BE57">
              <w:rPr>
                <w:rStyle w:val="normaltextrun"/>
                <w:sz w:val="24"/>
                <w:szCs w:val="24"/>
              </w:rPr>
              <w:t xml:space="preserve">Work was also underway on the overall review of the pay and reward framework, with </w:t>
            </w:r>
            <w:proofErr w:type="gramStart"/>
            <w:r w:rsidRPr="3A98BE57">
              <w:rPr>
                <w:rStyle w:val="normaltextrun"/>
                <w:sz w:val="24"/>
                <w:szCs w:val="24"/>
              </w:rPr>
              <w:t>particular issues</w:t>
            </w:r>
            <w:proofErr w:type="gramEnd"/>
            <w:r w:rsidRPr="3A98BE57">
              <w:rPr>
                <w:rStyle w:val="normaltextrun"/>
                <w:sz w:val="24"/>
                <w:szCs w:val="24"/>
              </w:rPr>
              <w:t xml:space="preserve"> being addressed in consultation with Trade Unions at the lower spine-point grades. </w:t>
            </w:r>
          </w:p>
          <w:p w14:paraId="18B281F6" w14:textId="64392BA4" w:rsidR="00FC69B5" w:rsidRDefault="00FC69B5" w:rsidP="00FC69B5">
            <w:pPr>
              <w:spacing w:before="60" w:after="60"/>
              <w:rPr>
                <w:rStyle w:val="normaltextrun"/>
                <w:sz w:val="24"/>
                <w:szCs w:val="24"/>
              </w:rPr>
            </w:pPr>
            <w:r>
              <w:rPr>
                <w:rStyle w:val="normaltextrun"/>
                <w:sz w:val="24"/>
                <w:szCs w:val="24"/>
              </w:rPr>
              <w:t xml:space="preserve">The Committee discussed the report, commenting: </w:t>
            </w:r>
          </w:p>
          <w:p w14:paraId="0F4F8957" w14:textId="15CDF638" w:rsidR="00FC69B5" w:rsidRPr="00A057DB" w:rsidRDefault="00FC69B5" w:rsidP="00FC69B5">
            <w:pPr>
              <w:pStyle w:val="ListParagraph"/>
              <w:numPr>
                <w:ilvl w:val="0"/>
                <w:numId w:val="8"/>
              </w:numPr>
              <w:spacing w:before="60" w:after="60"/>
              <w:rPr>
                <w:rStyle w:val="normaltextrun"/>
                <w:sz w:val="24"/>
                <w:szCs w:val="24"/>
              </w:rPr>
            </w:pPr>
            <w:r>
              <w:rPr>
                <w:rStyle w:val="normaltextrun"/>
                <w:sz w:val="24"/>
                <w:szCs w:val="24"/>
              </w:rPr>
              <w:t xml:space="preserve">The report was </w:t>
            </w:r>
            <w:proofErr w:type="gramStart"/>
            <w:r>
              <w:rPr>
                <w:rStyle w:val="normaltextrun"/>
                <w:sz w:val="24"/>
                <w:szCs w:val="24"/>
              </w:rPr>
              <w:t>welcomed</w:t>
            </w:r>
            <w:proofErr w:type="gramEnd"/>
            <w:r>
              <w:rPr>
                <w:rStyle w:val="normaltextrun"/>
                <w:sz w:val="24"/>
                <w:szCs w:val="24"/>
              </w:rPr>
              <w:t xml:space="preserve"> and Committee Members suggested that user benchmarking could helpfully become a routine exercise.</w:t>
            </w:r>
          </w:p>
        </w:tc>
      </w:tr>
      <w:tr w:rsidR="00FC69B5" w:rsidRPr="008A753B" w14:paraId="32DD697A" w14:textId="77777777" w:rsidTr="3A98BE57">
        <w:tc>
          <w:tcPr>
            <w:tcW w:w="1560" w:type="dxa"/>
            <w:tcBorders>
              <w:top w:val="nil"/>
              <w:bottom w:val="nil"/>
            </w:tcBorders>
          </w:tcPr>
          <w:p w14:paraId="3C79357F" w14:textId="5B2E290E" w:rsidR="00FC69B5" w:rsidRDefault="00FC69B5" w:rsidP="00FC69B5">
            <w:pPr>
              <w:spacing w:before="60" w:after="60"/>
              <w:ind w:left="-106" w:right="-108"/>
              <w:rPr>
                <w:sz w:val="24"/>
                <w:szCs w:val="24"/>
              </w:rPr>
            </w:pPr>
            <w:r>
              <w:rPr>
                <w:sz w:val="24"/>
                <w:szCs w:val="24"/>
              </w:rPr>
              <w:lastRenderedPageBreak/>
              <w:t>9.5</w:t>
            </w:r>
          </w:p>
        </w:tc>
        <w:tc>
          <w:tcPr>
            <w:tcW w:w="8647" w:type="dxa"/>
            <w:gridSpan w:val="2"/>
            <w:tcBorders>
              <w:top w:val="nil"/>
              <w:bottom w:val="nil"/>
            </w:tcBorders>
          </w:tcPr>
          <w:p w14:paraId="04362A46" w14:textId="77777777" w:rsidR="00FC69B5" w:rsidRDefault="00FC69B5" w:rsidP="00FC69B5">
            <w:pPr>
              <w:spacing w:before="60" w:after="60"/>
              <w:rPr>
                <w:rStyle w:val="normaltextrun"/>
                <w:b/>
                <w:bCs/>
                <w:sz w:val="24"/>
                <w:szCs w:val="24"/>
              </w:rPr>
            </w:pPr>
            <w:r w:rsidRPr="009E30DD">
              <w:rPr>
                <w:rStyle w:val="normaltextrun"/>
                <w:b/>
                <w:bCs/>
                <w:sz w:val="24"/>
                <w:szCs w:val="24"/>
              </w:rPr>
              <w:t>Update on research staff recruitment/retention:</w:t>
            </w:r>
          </w:p>
          <w:p w14:paraId="11061EEF" w14:textId="6F322A84" w:rsidR="00FC69B5" w:rsidRPr="00A5178A" w:rsidRDefault="00FC69B5" w:rsidP="00FC69B5">
            <w:pPr>
              <w:spacing w:before="60" w:after="60"/>
              <w:rPr>
                <w:rStyle w:val="normaltextrun"/>
                <w:sz w:val="24"/>
                <w:szCs w:val="24"/>
              </w:rPr>
            </w:pPr>
            <w:r>
              <w:rPr>
                <w:sz w:val="24"/>
                <w:szCs w:val="24"/>
              </w:rPr>
              <w:t xml:space="preserve">The </w:t>
            </w:r>
            <w:r w:rsidRPr="3A98BE57">
              <w:rPr>
                <w:sz w:val="24"/>
                <w:szCs w:val="24"/>
              </w:rPr>
              <w:t>Chief People Officer, Pro Vice-Chancellor (Diversity &amp; Inclusion) p</w:t>
            </w:r>
            <w:r w:rsidRPr="3A98BE57">
              <w:rPr>
                <w:rStyle w:val="normaltextrun"/>
                <w:sz w:val="24"/>
                <w:szCs w:val="24"/>
              </w:rPr>
              <w:t>resented an update on the work previously introduced at the annual Board strategy event. It was reported that the four key priorities were being progressed and an update would be provided to the Board of Governors in May 2023.</w:t>
            </w:r>
          </w:p>
        </w:tc>
      </w:tr>
      <w:tr w:rsidR="00FC69B5" w:rsidRPr="008A753B" w14:paraId="1C19913F" w14:textId="77777777" w:rsidTr="00A057DB">
        <w:tc>
          <w:tcPr>
            <w:tcW w:w="1560" w:type="dxa"/>
            <w:tcBorders>
              <w:top w:val="nil"/>
              <w:bottom w:val="nil"/>
            </w:tcBorders>
          </w:tcPr>
          <w:p w14:paraId="73243F10" w14:textId="77777777" w:rsidR="00FC69B5" w:rsidRPr="008A753B" w:rsidRDefault="00FC69B5" w:rsidP="00FC69B5">
            <w:pPr>
              <w:spacing w:before="60" w:after="60"/>
              <w:ind w:left="-106" w:right="-108"/>
              <w:rPr>
                <w:sz w:val="24"/>
                <w:szCs w:val="24"/>
              </w:rPr>
            </w:pPr>
            <w:bookmarkStart w:id="7" w:name="_Hlk128499447"/>
          </w:p>
        </w:tc>
        <w:tc>
          <w:tcPr>
            <w:tcW w:w="6663" w:type="dxa"/>
            <w:tcBorders>
              <w:top w:val="nil"/>
              <w:bottom w:val="nil"/>
            </w:tcBorders>
          </w:tcPr>
          <w:p w14:paraId="50944F88" w14:textId="77777777" w:rsidR="00FC69B5" w:rsidRPr="00004D0F" w:rsidRDefault="00FC69B5" w:rsidP="00FC69B5">
            <w:pPr>
              <w:spacing w:before="60" w:after="60"/>
              <w:rPr>
                <w:b/>
                <w:bCs/>
                <w:sz w:val="24"/>
                <w:szCs w:val="24"/>
              </w:rPr>
            </w:pPr>
            <w:r>
              <w:rPr>
                <w:b/>
                <w:bCs/>
                <w:sz w:val="24"/>
                <w:szCs w:val="24"/>
              </w:rPr>
              <w:t xml:space="preserve">Annual EEDI Report </w:t>
            </w:r>
          </w:p>
        </w:tc>
        <w:tc>
          <w:tcPr>
            <w:tcW w:w="1984" w:type="dxa"/>
            <w:tcBorders>
              <w:top w:val="nil"/>
              <w:bottom w:val="nil"/>
            </w:tcBorders>
          </w:tcPr>
          <w:p w14:paraId="64BC0506" w14:textId="24BBD304" w:rsidR="00FC69B5" w:rsidRPr="00EE70CB" w:rsidRDefault="00FC69B5" w:rsidP="00FC69B5">
            <w:pPr>
              <w:pStyle w:val="Heading3"/>
              <w:spacing w:before="60" w:after="60"/>
              <w:ind w:left="-113" w:right="-110"/>
              <w:jc w:val="right"/>
              <w:rPr>
                <w:sz w:val="24"/>
              </w:rPr>
            </w:pPr>
            <w:r w:rsidRPr="00820AC3">
              <w:t>FEC/</w:t>
            </w:r>
            <w:r w:rsidR="0066126F">
              <w:t>2023-05-03</w:t>
            </w:r>
            <w:r w:rsidRPr="00820AC3">
              <w:t>/P</w:t>
            </w:r>
            <w:r>
              <w:t>9.2</w:t>
            </w:r>
          </w:p>
        </w:tc>
      </w:tr>
      <w:tr w:rsidR="00FC69B5" w:rsidRPr="008A753B" w14:paraId="28FCE94F" w14:textId="77777777" w:rsidTr="00A057DB">
        <w:tc>
          <w:tcPr>
            <w:tcW w:w="1560" w:type="dxa"/>
            <w:tcBorders>
              <w:top w:val="nil"/>
              <w:bottom w:val="nil"/>
            </w:tcBorders>
          </w:tcPr>
          <w:p w14:paraId="1BE5DE1A" w14:textId="08E547CB" w:rsidR="00FC69B5" w:rsidRDefault="00FC69B5" w:rsidP="00FC69B5">
            <w:pPr>
              <w:spacing w:before="60" w:after="60"/>
              <w:ind w:left="-106" w:right="-108"/>
              <w:rPr>
                <w:sz w:val="24"/>
                <w:szCs w:val="24"/>
              </w:rPr>
            </w:pPr>
            <w:r>
              <w:rPr>
                <w:sz w:val="24"/>
                <w:szCs w:val="24"/>
              </w:rPr>
              <w:t>9.6</w:t>
            </w:r>
          </w:p>
        </w:tc>
        <w:tc>
          <w:tcPr>
            <w:tcW w:w="8647" w:type="dxa"/>
            <w:gridSpan w:val="2"/>
            <w:tcBorders>
              <w:top w:val="nil"/>
              <w:bottom w:val="nil"/>
            </w:tcBorders>
          </w:tcPr>
          <w:p w14:paraId="7F82DC3B" w14:textId="5869C2BE" w:rsidR="00FC69B5" w:rsidRDefault="00FC69B5" w:rsidP="00FC69B5">
            <w:pPr>
              <w:spacing w:before="60" w:after="60"/>
              <w:rPr>
                <w:sz w:val="24"/>
                <w:szCs w:val="24"/>
              </w:rPr>
            </w:pPr>
            <w:r>
              <w:rPr>
                <w:sz w:val="24"/>
                <w:szCs w:val="24"/>
              </w:rPr>
              <w:t xml:space="preserve">The Chief People Officer, Pro Vice-Chancellor (Diversity &amp; Inclusion) presented the report to the committee commenting: </w:t>
            </w:r>
          </w:p>
          <w:p w14:paraId="0EAA7012" w14:textId="05A587D8" w:rsidR="00FC69B5" w:rsidRDefault="00FC69B5" w:rsidP="00FC69B5">
            <w:pPr>
              <w:pStyle w:val="ListParagraph"/>
              <w:numPr>
                <w:ilvl w:val="0"/>
                <w:numId w:val="8"/>
              </w:numPr>
              <w:spacing w:before="60" w:after="60"/>
              <w:rPr>
                <w:sz w:val="24"/>
                <w:szCs w:val="24"/>
              </w:rPr>
            </w:pPr>
            <w:r>
              <w:rPr>
                <w:sz w:val="24"/>
                <w:szCs w:val="24"/>
              </w:rPr>
              <w:t xml:space="preserve">This was a retrospective look at EEDI challenges and actions. </w:t>
            </w:r>
          </w:p>
          <w:p w14:paraId="6358CA2E" w14:textId="282B6958" w:rsidR="00FC69B5" w:rsidRDefault="00FC69B5" w:rsidP="00FC69B5">
            <w:pPr>
              <w:pStyle w:val="ListParagraph"/>
              <w:numPr>
                <w:ilvl w:val="0"/>
                <w:numId w:val="8"/>
              </w:numPr>
              <w:spacing w:before="60" w:after="60"/>
              <w:rPr>
                <w:sz w:val="24"/>
                <w:szCs w:val="24"/>
              </w:rPr>
            </w:pPr>
            <w:r>
              <w:rPr>
                <w:sz w:val="24"/>
                <w:szCs w:val="24"/>
              </w:rPr>
              <w:t>The University had four years of data collection now considered in greater detail. However, some areas of management information remained challenging.</w:t>
            </w:r>
          </w:p>
          <w:p w14:paraId="1B8000F5" w14:textId="36052890" w:rsidR="00FC69B5" w:rsidRDefault="00FC69B5" w:rsidP="00FC69B5">
            <w:pPr>
              <w:pStyle w:val="ListParagraph"/>
              <w:numPr>
                <w:ilvl w:val="0"/>
                <w:numId w:val="8"/>
              </w:numPr>
              <w:spacing w:before="60" w:after="60"/>
              <w:rPr>
                <w:sz w:val="24"/>
                <w:szCs w:val="24"/>
              </w:rPr>
            </w:pPr>
            <w:r>
              <w:rPr>
                <w:sz w:val="24"/>
                <w:szCs w:val="24"/>
              </w:rPr>
              <w:t xml:space="preserve">A recently appointed Charters Manager was continuing to update and manage a range of accreditations in this area. </w:t>
            </w:r>
          </w:p>
          <w:p w14:paraId="2C74386E" w14:textId="025B3C0B" w:rsidR="00FC69B5" w:rsidRDefault="00FC69B5" w:rsidP="00FC69B5">
            <w:pPr>
              <w:pStyle w:val="ListParagraph"/>
              <w:numPr>
                <w:ilvl w:val="0"/>
                <w:numId w:val="8"/>
              </w:numPr>
              <w:spacing w:before="60" w:after="60"/>
              <w:rPr>
                <w:sz w:val="24"/>
                <w:szCs w:val="24"/>
              </w:rPr>
            </w:pPr>
            <w:r>
              <w:rPr>
                <w:sz w:val="24"/>
                <w:szCs w:val="24"/>
              </w:rPr>
              <w:t xml:space="preserve">EEDI continued to be a whole-institution response with significant leadership and direction provided by members of the University Executive and a network of locally based resource in academic areas. </w:t>
            </w:r>
          </w:p>
          <w:p w14:paraId="6E05D801" w14:textId="6DBBC76F" w:rsidR="00FC69B5" w:rsidRDefault="00FC69B5" w:rsidP="00FC69B5">
            <w:pPr>
              <w:pStyle w:val="ListParagraph"/>
              <w:numPr>
                <w:ilvl w:val="0"/>
                <w:numId w:val="8"/>
              </w:numPr>
              <w:spacing w:before="60" w:after="60"/>
              <w:rPr>
                <w:sz w:val="24"/>
                <w:szCs w:val="24"/>
              </w:rPr>
            </w:pPr>
            <w:r>
              <w:rPr>
                <w:sz w:val="24"/>
                <w:szCs w:val="24"/>
              </w:rPr>
              <w:t>Key to future progression of this work was the embedding of good practice across the institution.</w:t>
            </w:r>
          </w:p>
          <w:p w14:paraId="5C865878" w14:textId="144EE458" w:rsidR="00FC69B5" w:rsidRPr="00733897" w:rsidRDefault="00FC69B5" w:rsidP="00FC69B5">
            <w:pPr>
              <w:pStyle w:val="ListParagraph"/>
              <w:numPr>
                <w:ilvl w:val="0"/>
                <w:numId w:val="8"/>
              </w:numPr>
              <w:spacing w:before="60" w:after="60"/>
              <w:rPr>
                <w:sz w:val="24"/>
                <w:szCs w:val="24"/>
              </w:rPr>
            </w:pPr>
            <w:r>
              <w:rPr>
                <w:sz w:val="24"/>
                <w:szCs w:val="24"/>
              </w:rPr>
              <w:t xml:space="preserve">Progress continued to be made in staff development and recognition as previously reported to the Committee and in the development of positive relationships with the SU. </w:t>
            </w:r>
          </w:p>
        </w:tc>
      </w:tr>
      <w:tr w:rsidR="00FC69B5" w:rsidRPr="008A753B" w14:paraId="0B753252" w14:textId="77777777" w:rsidTr="00A057DB">
        <w:tc>
          <w:tcPr>
            <w:tcW w:w="1560" w:type="dxa"/>
            <w:tcBorders>
              <w:top w:val="nil"/>
              <w:bottom w:val="nil"/>
            </w:tcBorders>
          </w:tcPr>
          <w:p w14:paraId="527ABD51" w14:textId="44DF6A5F" w:rsidR="00FC69B5" w:rsidRDefault="00FC69B5" w:rsidP="00FC69B5">
            <w:pPr>
              <w:spacing w:before="60" w:after="60"/>
              <w:ind w:left="-106" w:right="-108"/>
              <w:rPr>
                <w:sz w:val="24"/>
                <w:szCs w:val="24"/>
              </w:rPr>
            </w:pPr>
            <w:r>
              <w:rPr>
                <w:sz w:val="24"/>
                <w:szCs w:val="24"/>
              </w:rPr>
              <w:t>9.7</w:t>
            </w:r>
          </w:p>
        </w:tc>
        <w:tc>
          <w:tcPr>
            <w:tcW w:w="8647" w:type="dxa"/>
            <w:gridSpan w:val="2"/>
            <w:tcBorders>
              <w:top w:val="nil"/>
              <w:bottom w:val="nil"/>
            </w:tcBorders>
          </w:tcPr>
          <w:p w14:paraId="4C4F4CCC" w14:textId="1DF5D5D3" w:rsidR="00FC69B5" w:rsidRDefault="00FC69B5" w:rsidP="00FC69B5">
            <w:pPr>
              <w:spacing w:before="60" w:after="60"/>
              <w:rPr>
                <w:sz w:val="24"/>
                <w:szCs w:val="24"/>
              </w:rPr>
            </w:pPr>
            <w:r>
              <w:rPr>
                <w:sz w:val="24"/>
                <w:szCs w:val="24"/>
              </w:rPr>
              <w:t>The Committee welcomed the report, commenting:</w:t>
            </w:r>
          </w:p>
          <w:p w14:paraId="194202B5" w14:textId="77777777" w:rsidR="00FC69B5" w:rsidRDefault="00FC69B5" w:rsidP="00FC69B5">
            <w:pPr>
              <w:pStyle w:val="ListParagraph"/>
              <w:numPr>
                <w:ilvl w:val="0"/>
                <w:numId w:val="9"/>
              </w:numPr>
              <w:spacing w:before="60" w:after="60"/>
              <w:rPr>
                <w:sz w:val="24"/>
                <w:szCs w:val="24"/>
              </w:rPr>
            </w:pPr>
            <w:r>
              <w:rPr>
                <w:sz w:val="24"/>
                <w:szCs w:val="24"/>
              </w:rPr>
              <w:t xml:space="preserve">The focus within the University of the importance of concepts of equity as well as equality was recognised. </w:t>
            </w:r>
          </w:p>
          <w:p w14:paraId="146E9001" w14:textId="77777777" w:rsidR="00FC69B5" w:rsidRDefault="00FC69B5" w:rsidP="00FC69B5">
            <w:pPr>
              <w:pStyle w:val="ListParagraph"/>
              <w:numPr>
                <w:ilvl w:val="0"/>
                <w:numId w:val="9"/>
              </w:numPr>
              <w:spacing w:before="60" w:after="60"/>
              <w:rPr>
                <w:sz w:val="24"/>
                <w:szCs w:val="24"/>
              </w:rPr>
            </w:pPr>
            <w:r>
              <w:rPr>
                <w:sz w:val="24"/>
                <w:szCs w:val="24"/>
              </w:rPr>
              <w:t xml:space="preserve">There was significant breadth of activity being undertaken. It was confirmed that an assessment of the range of activities was being conducted with a view to consolidating high impact and good practice actions. </w:t>
            </w:r>
          </w:p>
          <w:p w14:paraId="70973D51" w14:textId="77777777" w:rsidR="00FC69B5" w:rsidRDefault="00FC69B5" w:rsidP="00FC69B5">
            <w:pPr>
              <w:pStyle w:val="ListParagraph"/>
              <w:numPr>
                <w:ilvl w:val="0"/>
                <w:numId w:val="9"/>
              </w:numPr>
              <w:spacing w:before="60" w:after="60"/>
              <w:rPr>
                <w:sz w:val="24"/>
                <w:szCs w:val="24"/>
              </w:rPr>
            </w:pPr>
            <w:r>
              <w:rPr>
                <w:sz w:val="24"/>
                <w:szCs w:val="24"/>
              </w:rPr>
              <w:t xml:space="preserve">It remained important to keep intersectionality under consideration. </w:t>
            </w:r>
          </w:p>
          <w:p w14:paraId="49BDA524" w14:textId="0445AA17" w:rsidR="00FC69B5" w:rsidRPr="00A057DB" w:rsidRDefault="00FC69B5" w:rsidP="00FC69B5">
            <w:pPr>
              <w:pStyle w:val="ListParagraph"/>
              <w:numPr>
                <w:ilvl w:val="0"/>
                <w:numId w:val="9"/>
              </w:numPr>
              <w:spacing w:before="60" w:after="60"/>
              <w:rPr>
                <w:sz w:val="24"/>
                <w:szCs w:val="24"/>
              </w:rPr>
            </w:pPr>
            <w:r>
              <w:rPr>
                <w:sz w:val="24"/>
                <w:szCs w:val="24"/>
              </w:rPr>
              <w:t xml:space="preserve">The development of leadership and wider institutional responsibilities was welcomed. </w:t>
            </w:r>
          </w:p>
        </w:tc>
      </w:tr>
      <w:tr w:rsidR="00FC69B5" w:rsidRPr="008A753B" w14:paraId="7CBB2BC0" w14:textId="77777777" w:rsidTr="3A98BE57">
        <w:tc>
          <w:tcPr>
            <w:tcW w:w="1560" w:type="dxa"/>
            <w:tcBorders>
              <w:top w:val="nil"/>
              <w:bottom w:val="single" w:sz="4" w:space="0" w:color="auto"/>
            </w:tcBorders>
          </w:tcPr>
          <w:p w14:paraId="4F285724" w14:textId="165C82B9" w:rsidR="00FC69B5" w:rsidRDefault="00FC69B5" w:rsidP="00FC69B5">
            <w:pPr>
              <w:spacing w:before="60" w:after="60"/>
              <w:ind w:left="-106" w:right="-108"/>
              <w:rPr>
                <w:sz w:val="24"/>
                <w:szCs w:val="24"/>
              </w:rPr>
            </w:pPr>
            <w:r>
              <w:rPr>
                <w:sz w:val="24"/>
                <w:szCs w:val="24"/>
              </w:rPr>
              <w:t>9.8</w:t>
            </w:r>
          </w:p>
        </w:tc>
        <w:tc>
          <w:tcPr>
            <w:tcW w:w="8647" w:type="dxa"/>
            <w:gridSpan w:val="2"/>
            <w:tcBorders>
              <w:top w:val="nil"/>
              <w:bottom w:val="single" w:sz="4" w:space="0" w:color="auto"/>
            </w:tcBorders>
          </w:tcPr>
          <w:p w14:paraId="59A3D1F9" w14:textId="7F22B430" w:rsidR="00FC69B5" w:rsidRDefault="00FC69B5" w:rsidP="00FC69B5">
            <w:pPr>
              <w:spacing w:before="60" w:after="60"/>
              <w:rPr>
                <w:sz w:val="24"/>
                <w:szCs w:val="24"/>
              </w:rPr>
            </w:pPr>
            <w:r>
              <w:rPr>
                <w:b/>
                <w:bCs/>
                <w:sz w:val="24"/>
                <w:szCs w:val="24"/>
              </w:rPr>
              <w:t>Resolution</w:t>
            </w:r>
            <w:r w:rsidRPr="004E53C5">
              <w:rPr>
                <w:b/>
                <w:bCs/>
                <w:sz w:val="24"/>
                <w:szCs w:val="24"/>
              </w:rPr>
              <w:t>:</w:t>
            </w:r>
            <w:r>
              <w:rPr>
                <w:sz w:val="24"/>
                <w:szCs w:val="24"/>
              </w:rPr>
              <w:t xml:space="preserve"> to </w:t>
            </w:r>
            <w:r>
              <w:rPr>
                <w:b/>
                <w:bCs/>
                <w:sz w:val="24"/>
                <w:szCs w:val="24"/>
              </w:rPr>
              <w:t>recommend</w:t>
            </w:r>
            <w:r>
              <w:rPr>
                <w:sz w:val="24"/>
                <w:szCs w:val="24"/>
              </w:rPr>
              <w:t xml:space="preserve"> the EEDI Report to the Board of Governors for publication</w:t>
            </w:r>
          </w:p>
        </w:tc>
      </w:tr>
      <w:bookmarkEnd w:id="7"/>
      <w:tr w:rsidR="00FC69B5" w:rsidRPr="008A753B" w14:paraId="42E8C3FC" w14:textId="77777777" w:rsidTr="3A98BE57">
        <w:tc>
          <w:tcPr>
            <w:tcW w:w="1560" w:type="dxa"/>
            <w:tcBorders>
              <w:top w:val="single" w:sz="4" w:space="0" w:color="auto"/>
              <w:bottom w:val="single" w:sz="4" w:space="0" w:color="auto"/>
            </w:tcBorders>
            <w:shd w:val="clear" w:color="auto" w:fill="D9D9D9" w:themeFill="background1" w:themeFillShade="D9"/>
          </w:tcPr>
          <w:p w14:paraId="07DA630C" w14:textId="5C388D55" w:rsidR="00FC69B5" w:rsidRPr="008A753B" w:rsidRDefault="00FC69B5" w:rsidP="00FC69B5">
            <w:pPr>
              <w:pStyle w:val="Heading3"/>
              <w:spacing w:before="60" w:after="60"/>
              <w:ind w:left="-106" w:right="-108"/>
              <w:rPr>
                <w:sz w:val="24"/>
              </w:rPr>
            </w:pPr>
            <w:r>
              <w:t>FEC/</w:t>
            </w:r>
            <w:r w:rsidR="0066126F">
              <w:t>2023-05-03</w:t>
            </w:r>
            <w:r>
              <w:t>/10</w:t>
            </w:r>
          </w:p>
        </w:tc>
        <w:tc>
          <w:tcPr>
            <w:tcW w:w="6663" w:type="dxa"/>
            <w:tcBorders>
              <w:top w:val="single" w:sz="4" w:space="0" w:color="auto"/>
              <w:bottom w:val="single" w:sz="4" w:space="0" w:color="auto"/>
            </w:tcBorders>
            <w:shd w:val="clear" w:color="auto" w:fill="D9D9D9" w:themeFill="background1" w:themeFillShade="D9"/>
          </w:tcPr>
          <w:p w14:paraId="60166C7E" w14:textId="000C3104" w:rsidR="00FC69B5" w:rsidRPr="008A753B" w:rsidRDefault="00FC69B5" w:rsidP="00FC69B5">
            <w:pPr>
              <w:pStyle w:val="Heading2"/>
            </w:pPr>
            <w:r>
              <w:rPr>
                <w:bCs/>
                <w:szCs w:val="24"/>
              </w:rPr>
              <w:t>STUDENTS’ UNION (SU) FINANCIAL MONITORING</w:t>
            </w:r>
          </w:p>
        </w:tc>
        <w:tc>
          <w:tcPr>
            <w:tcW w:w="1984" w:type="dxa"/>
            <w:tcBorders>
              <w:top w:val="single" w:sz="4" w:space="0" w:color="auto"/>
              <w:bottom w:val="single" w:sz="4" w:space="0" w:color="auto"/>
            </w:tcBorders>
            <w:shd w:val="clear" w:color="auto" w:fill="D9D9D9" w:themeFill="background1" w:themeFillShade="D9"/>
          </w:tcPr>
          <w:p w14:paraId="574D1343" w14:textId="1CF2439A" w:rsidR="00FC69B5" w:rsidRPr="00627D42" w:rsidRDefault="00FC69B5" w:rsidP="00FC69B5">
            <w:pPr>
              <w:pStyle w:val="Heading3"/>
              <w:spacing w:before="60" w:after="60"/>
              <w:ind w:left="-113" w:right="-110"/>
              <w:jc w:val="right"/>
            </w:pPr>
            <w:r>
              <w:t>FEC/</w:t>
            </w:r>
            <w:r w:rsidR="0066126F">
              <w:t>2023-05-03</w:t>
            </w:r>
            <w:r>
              <w:t>/P10</w:t>
            </w:r>
          </w:p>
        </w:tc>
      </w:tr>
      <w:tr w:rsidR="00FC69B5" w:rsidRPr="008A753B" w14:paraId="65C1101B" w14:textId="77777777" w:rsidTr="3A98BE57">
        <w:tc>
          <w:tcPr>
            <w:tcW w:w="1560" w:type="dxa"/>
            <w:tcBorders>
              <w:top w:val="single" w:sz="4" w:space="0" w:color="auto"/>
            </w:tcBorders>
          </w:tcPr>
          <w:p w14:paraId="76B381CC" w14:textId="2805B101" w:rsidR="00FC69B5" w:rsidRPr="008A753B" w:rsidRDefault="00FC69B5" w:rsidP="00FC69B5">
            <w:pPr>
              <w:spacing w:before="60" w:after="60"/>
              <w:ind w:left="-106" w:right="-108"/>
              <w:rPr>
                <w:sz w:val="24"/>
                <w:szCs w:val="24"/>
              </w:rPr>
            </w:pPr>
            <w:r>
              <w:rPr>
                <w:sz w:val="24"/>
                <w:szCs w:val="24"/>
              </w:rPr>
              <w:t>10.1</w:t>
            </w:r>
          </w:p>
        </w:tc>
        <w:tc>
          <w:tcPr>
            <w:tcW w:w="8647" w:type="dxa"/>
            <w:gridSpan w:val="2"/>
            <w:tcBorders>
              <w:top w:val="single" w:sz="4" w:space="0" w:color="auto"/>
            </w:tcBorders>
          </w:tcPr>
          <w:p w14:paraId="5F87547C" w14:textId="24D901BC" w:rsidR="00FC69B5" w:rsidRPr="00FA6439" w:rsidRDefault="00FC69B5" w:rsidP="00FC69B5">
            <w:pPr>
              <w:tabs>
                <w:tab w:val="left" w:pos="2552"/>
              </w:tabs>
              <w:spacing w:before="60" w:after="60"/>
              <w:rPr>
                <w:sz w:val="24"/>
                <w:szCs w:val="24"/>
              </w:rPr>
            </w:pPr>
            <w:r>
              <w:rPr>
                <w:sz w:val="24"/>
                <w:szCs w:val="24"/>
              </w:rPr>
              <w:t xml:space="preserve">The Committee received an update on </w:t>
            </w:r>
            <w:r w:rsidRPr="002F43B9">
              <w:rPr>
                <w:sz w:val="24"/>
                <w:szCs w:val="24"/>
              </w:rPr>
              <w:t xml:space="preserve">the financial performance of </w:t>
            </w:r>
            <w:r>
              <w:rPr>
                <w:sz w:val="24"/>
                <w:szCs w:val="24"/>
              </w:rPr>
              <w:t>the SU</w:t>
            </w:r>
            <w:r w:rsidRPr="002F43B9">
              <w:rPr>
                <w:sz w:val="24"/>
                <w:szCs w:val="24"/>
              </w:rPr>
              <w:t xml:space="preserve"> as at </w:t>
            </w:r>
            <w:r>
              <w:rPr>
                <w:sz w:val="24"/>
                <w:szCs w:val="24"/>
              </w:rPr>
              <w:t>P</w:t>
            </w:r>
            <w:r w:rsidRPr="002F43B9">
              <w:rPr>
                <w:sz w:val="24"/>
                <w:szCs w:val="24"/>
              </w:rPr>
              <w:t xml:space="preserve">eriod </w:t>
            </w:r>
            <w:r>
              <w:rPr>
                <w:sz w:val="24"/>
                <w:szCs w:val="24"/>
              </w:rPr>
              <w:t>9.</w:t>
            </w:r>
          </w:p>
        </w:tc>
      </w:tr>
      <w:tr w:rsidR="00FC69B5" w:rsidRPr="008A753B" w14:paraId="0E977793" w14:textId="77777777" w:rsidTr="3A98BE57">
        <w:tc>
          <w:tcPr>
            <w:tcW w:w="1560" w:type="dxa"/>
            <w:tcBorders>
              <w:top w:val="single" w:sz="4" w:space="0" w:color="auto"/>
              <w:bottom w:val="single" w:sz="4" w:space="0" w:color="auto"/>
            </w:tcBorders>
            <w:shd w:val="clear" w:color="auto" w:fill="D9D9D9" w:themeFill="background1" w:themeFillShade="D9"/>
          </w:tcPr>
          <w:p w14:paraId="74126510" w14:textId="5BE354EC" w:rsidR="00FC69B5" w:rsidRPr="008A753B" w:rsidRDefault="00FC69B5" w:rsidP="00FC69B5">
            <w:pPr>
              <w:pStyle w:val="Heading3"/>
              <w:spacing w:before="60" w:after="60"/>
              <w:ind w:left="-106" w:right="-108"/>
              <w:rPr>
                <w:sz w:val="24"/>
              </w:rPr>
            </w:pPr>
            <w:bookmarkStart w:id="8" w:name="_Hlk133261668"/>
            <w:bookmarkEnd w:id="6"/>
            <w:r>
              <w:t>FEC/</w:t>
            </w:r>
            <w:r w:rsidR="0066126F">
              <w:t>2023-05-03</w:t>
            </w:r>
            <w:r>
              <w:t>/11</w:t>
            </w:r>
          </w:p>
        </w:tc>
        <w:tc>
          <w:tcPr>
            <w:tcW w:w="6663" w:type="dxa"/>
            <w:tcBorders>
              <w:top w:val="single" w:sz="4" w:space="0" w:color="auto"/>
              <w:bottom w:val="single" w:sz="4" w:space="0" w:color="auto"/>
            </w:tcBorders>
            <w:shd w:val="clear" w:color="auto" w:fill="D9D9D9" w:themeFill="background1" w:themeFillShade="D9"/>
          </w:tcPr>
          <w:p w14:paraId="00BC0E54" w14:textId="386857F4" w:rsidR="00FC69B5" w:rsidRPr="00C17300" w:rsidRDefault="00FC69B5" w:rsidP="00FC69B5">
            <w:pPr>
              <w:spacing w:before="60" w:after="60"/>
              <w:rPr>
                <w:b/>
                <w:bCs/>
                <w:color w:val="000000" w:themeColor="text1"/>
                <w:sz w:val="24"/>
                <w:szCs w:val="24"/>
              </w:rPr>
            </w:pPr>
            <w:r w:rsidRPr="0021033D">
              <w:rPr>
                <w:rFonts w:ascii="Calibri" w:eastAsiaTheme="majorEastAsia" w:hAnsi="Calibri" w:cstheme="majorBidi"/>
                <w:b/>
                <w:bCs/>
                <w:color w:val="000000" w:themeColor="text1"/>
                <w:sz w:val="24"/>
                <w:szCs w:val="24"/>
              </w:rPr>
              <w:t>INVESTMENTS SUMMARY</w:t>
            </w:r>
          </w:p>
        </w:tc>
        <w:tc>
          <w:tcPr>
            <w:tcW w:w="1984" w:type="dxa"/>
            <w:tcBorders>
              <w:top w:val="single" w:sz="4" w:space="0" w:color="auto"/>
              <w:bottom w:val="single" w:sz="4" w:space="0" w:color="auto"/>
            </w:tcBorders>
            <w:shd w:val="clear" w:color="auto" w:fill="D9D9D9" w:themeFill="background1" w:themeFillShade="D9"/>
          </w:tcPr>
          <w:p w14:paraId="497E5534" w14:textId="499E2032" w:rsidR="00FC69B5" w:rsidRPr="00627D42" w:rsidRDefault="00FC69B5" w:rsidP="00FC69B5">
            <w:pPr>
              <w:pStyle w:val="Heading3"/>
              <w:spacing w:before="60" w:after="60"/>
              <w:ind w:left="-113" w:right="-110"/>
              <w:jc w:val="right"/>
            </w:pPr>
            <w:r>
              <w:t>FEC/</w:t>
            </w:r>
            <w:r w:rsidR="0066126F">
              <w:t>2023-05-03</w:t>
            </w:r>
            <w:r>
              <w:t>/P11</w:t>
            </w:r>
          </w:p>
        </w:tc>
      </w:tr>
      <w:tr w:rsidR="00FC69B5" w:rsidRPr="008A753B" w14:paraId="757C0333" w14:textId="77777777" w:rsidTr="3A98BE57">
        <w:tc>
          <w:tcPr>
            <w:tcW w:w="1560" w:type="dxa"/>
            <w:tcBorders>
              <w:top w:val="single" w:sz="4" w:space="0" w:color="auto"/>
            </w:tcBorders>
          </w:tcPr>
          <w:p w14:paraId="63D2EC83" w14:textId="613A4284" w:rsidR="00FC69B5" w:rsidRPr="008A753B" w:rsidRDefault="00FC69B5" w:rsidP="00FC69B5">
            <w:pPr>
              <w:spacing w:before="60" w:after="60"/>
              <w:ind w:left="-106" w:right="-108"/>
              <w:rPr>
                <w:sz w:val="24"/>
                <w:szCs w:val="24"/>
              </w:rPr>
            </w:pPr>
            <w:r>
              <w:rPr>
                <w:sz w:val="24"/>
                <w:szCs w:val="24"/>
              </w:rPr>
              <w:t>11.1</w:t>
            </w:r>
          </w:p>
        </w:tc>
        <w:tc>
          <w:tcPr>
            <w:tcW w:w="8647" w:type="dxa"/>
            <w:gridSpan w:val="2"/>
            <w:tcBorders>
              <w:top w:val="single" w:sz="4" w:space="0" w:color="auto"/>
            </w:tcBorders>
          </w:tcPr>
          <w:p w14:paraId="2DC83A94" w14:textId="79FA6C9D" w:rsidR="00FC69B5" w:rsidRPr="003B54EA" w:rsidRDefault="00FC69B5" w:rsidP="00FC69B5">
            <w:pPr>
              <w:spacing w:before="60" w:after="60"/>
              <w:rPr>
                <w:sz w:val="24"/>
                <w:szCs w:val="24"/>
              </w:rPr>
            </w:pPr>
            <w:r w:rsidRPr="00A74B87">
              <w:rPr>
                <w:sz w:val="24"/>
                <w:szCs w:val="24"/>
              </w:rPr>
              <w:t xml:space="preserve">FEC </w:t>
            </w:r>
            <w:r>
              <w:rPr>
                <w:sz w:val="24"/>
                <w:szCs w:val="24"/>
              </w:rPr>
              <w:t>received</w:t>
            </w:r>
            <w:r w:rsidRPr="00A74B87">
              <w:rPr>
                <w:sz w:val="24"/>
                <w:szCs w:val="24"/>
              </w:rPr>
              <w:t xml:space="preserve"> the cash investment summary</w:t>
            </w:r>
            <w:r>
              <w:rPr>
                <w:sz w:val="24"/>
                <w:szCs w:val="24"/>
              </w:rPr>
              <w:t>.</w:t>
            </w:r>
          </w:p>
        </w:tc>
      </w:tr>
      <w:bookmarkEnd w:id="8"/>
      <w:tr w:rsidR="00FC69B5" w:rsidRPr="008A753B" w14:paraId="111ED2E6" w14:textId="77777777" w:rsidTr="3A98BE57">
        <w:tc>
          <w:tcPr>
            <w:tcW w:w="1560" w:type="dxa"/>
            <w:tcBorders>
              <w:top w:val="single" w:sz="4" w:space="0" w:color="auto"/>
              <w:bottom w:val="single" w:sz="4" w:space="0" w:color="auto"/>
            </w:tcBorders>
            <w:shd w:val="clear" w:color="auto" w:fill="D9D9D9" w:themeFill="background1" w:themeFillShade="D9"/>
          </w:tcPr>
          <w:p w14:paraId="71BB4972" w14:textId="3285A621" w:rsidR="00FC69B5" w:rsidRPr="008A753B" w:rsidRDefault="00FC69B5" w:rsidP="00FC69B5">
            <w:pPr>
              <w:pStyle w:val="Heading3"/>
              <w:spacing w:before="60" w:after="60"/>
              <w:ind w:left="-106" w:right="-108"/>
              <w:rPr>
                <w:sz w:val="24"/>
              </w:rPr>
            </w:pPr>
            <w:r>
              <w:lastRenderedPageBreak/>
              <w:t>FEC/</w:t>
            </w:r>
            <w:r w:rsidR="0066126F">
              <w:t>2023-05-03</w:t>
            </w:r>
            <w:r>
              <w:t>/12</w:t>
            </w:r>
          </w:p>
        </w:tc>
        <w:tc>
          <w:tcPr>
            <w:tcW w:w="6663" w:type="dxa"/>
            <w:tcBorders>
              <w:top w:val="single" w:sz="4" w:space="0" w:color="auto"/>
              <w:bottom w:val="single" w:sz="4" w:space="0" w:color="auto"/>
            </w:tcBorders>
            <w:shd w:val="clear" w:color="auto" w:fill="D9D9D9" w:themeFill="background1" w:themeFillShade="D9"/>
          </w:tcPr>
          <w:p w14:paraId="38FD8CC1" w14:textId="457E178F" w:rsidR="00FC69B5" w:rsidRPr="00C17300" w:rsidRDefault="00FC69B5" w:rsidP="00FC69B5">
            <w:pPr>
              <w:spacing w:before="60" w:after="60"/>
              <w:rPr>
                <w:b/>
                <w:bCs/>
                <w:color w:val="000000" w:themeColor="text1"/>
                <w:sz w:val="24"/>
                <w:szCs w:val="24"/>
              </w:rPr>
            </w:pPr>
            <w:r>
              <w:rPr>
                <w:rFonts w:ascii="Calibri" w:eastAsiaTheme="majorEastAsia" w:hAnsi="Calibri" w:cstheme="majorBidi"/>
                <w:b/>
                <w:bCs/>
                <w:color w:val="000000" w:themeColor="text1"/>
                <w:sz w:val="24"/>
                <w:szCs w:val="24"/>
              </w:rPr>
              <w:t>ORDERS AND CONTRACTS</w:t>
            </w:r>
          </w:p>
        </w:tc>
        <w:tc>
          <w:tcPr>
            <w:tcW w:w="1984" w:type="dxa"/>
            <w:tcBorders>
              <w:top w:val="single" w:sz="4" w:space="0" w:color="auto"/>
              <w:bottom w:val="single" w:sz="4" w:space="0" w:color="auto"/>
            </w:tcBorders>
            <w:shd w:val="clear" w:color="auto" w:fill="D9D9D9" w:themeFill="background1" w:themeFillShade="D9"/>
          </w:tcPr>
          <w:p w14:paraId="720DA925" w14:textId="419F5597" w:rsidR="00FC69B5" w:rsidRPr="00627D42" w:rsidRDefault="00FC69B5" w:rsidP="00FC69B5">
            <w:pPr>
              <w:pStyle w:val="Heading3"/>
              <w:spacing w:before="60" w:after="60"/>
              <w:ind w:left="-113" w:right="-110"/>
              <w:jc w:val="right"/>
            </w:pPr>
            <w:r>
              <w:t>FEC/</w:t>
            </w:r>
            <w:r w:rsidR="0066126F">
              <w:t>2023-05-03</w:t>
            </w:r>
            <w:r>
              <w:t>/P12</w:t>
            </w:r>
          </w:p>
        </w:tc>
      </w:tr>
      <w:tr w:rsidR="00FC69B5" w:rsidRPr="008A753B" w14:paraId="2AFC4A1C" w14:textId="77777777" w:rsidTr="3A98BE57">
        <w:tc>
          <w:tcPr>
            <w:tcW w:w="1560" w:type="dxa"/>
            <w:tcBorders>
              <w:top w:val="single" w:sz="4" w:space="0" w:color="auto"/>
            </w:tcBorders>
          </w:tcPr>
          <w:p w14:paraId="668D8F1A" w14:textId="6C7CA295" w:rsidR="00FC69B5" w:rsidRPr="008A753B" w:rsidRDefault="00FC69B5" w:rsidP="00FC69B5">
            <w:pPr>
              <w:spacing w:before="60" w:after="60"/>
              <w:ind w:left="-106" w:right="-108"/>
              <w:rPr>
                <w:sz w:val="24"/>
                <w:szCs w:val="24"/>
              </w:rPr>
            </w:pPr>
            <w:r>
              <w:rPr>
                <w:sz w:val="24"/>
                <w:szCs w:val="24"/>
              </w:rPr>
              <w:t>12.1</w:t>
            </w:r>
          </w:p>
        </w:tc>
        <w:tc>
          <w:tcPr>
            <w:tcW w:w="8647" w:type="dxa"/>
            <w:gridSpan w:val="2"/>
            <w:tcBorders>
              <w:top w:val="single" w:sz="4" w:space="0" w:color="auto"/>
            </w:tcBorders>
          </w:tcPr>
          <w:p w14:paraId="5FB7D892" w14:textId="710C1C18" w:rsidR="00FC69B5" w:rsidRPr="003B54EA" w:rsidRDefault="00FC69B5" w:rsidP="00FC69B5">
            <w:pPr>
              <w:spacing w:before="60" w:after="60"/>
              <w:rPr>
                <w:sz w:val="24"/>
                <w:szCs w:val="24"/>
              </w:rPr>
            </w:pPr>
            <w:r>
              <w:rPr>
                <w:sz w:val="24"/>
                <w:szCs w:val="24"/>
              </w:rPr>
              <w:t xml:space="preserve">Members noted the orders and contracts awarded </w:t>
            </w:r>
            <w:r w:rsidRPr="003E2B79">
              <w:rPr>
                <w:sz w:val="24"/>
                <w:szCs w:val="24"/>
              </w:rPr>
              <w:t xml:space="preserve">above £500,000 </w:t>
            </w:r>
            <w:r>
              <w:rPr>
                <w:sz w:val="24"/>
                <w:szCs w:val="24"/>
              </w:rPr>
              <w:t xml:space="preserve">and below the threshold for FEC approval. </w:t>
            </w:r>
          </w:p>
        </w:tc>
      </w:tr>
      <w:tr w:rsidR="00FC69B5" w:rsidRPr="008A753B" w14:paraId="7A14FCFD" w14:textId="77777777" w:rsidTr="3A98BE57">
        <w:tc>
          <w:tcPr>
            <w:tcW w:w="1560" w:type="dxa"/>
            <w:tcBorders>
              <w:top w:val="single" w:sz="4" w:space="0" w:color="auto"/>
              <w:bottom w:val="single" w:sz="4" w:space="0" w:color="auto"/>
            </w:tcBorders>
            <w:shd w:val="clear" w:color="auto" w:fill="D9D9D9" w:themeFill="background1" w:themeFillShade="D9"/>
          </w:tcPr>
          <w:p w14:paraId="3172CBF1" w14:textId="4CD0DB0B" w:rsidR="00FC69B5" w:rsidRPr="008A753B" w:rsidRDefault="00FC69B5" w:rsidP="00FC69B5">
            <w:pPr>
              <w:pStyle w:val="Heading3"/>
              <w:spacing w:before="60" w:after="60"/>
              <w:ind w:left="-106" w:right="-108"/>
              <w:rPr>
                <w:sz w:val="24"/>
              </w:rPr>
            </w:pPr>
            <w:r>
              <w:t>FEC/</w:t>
            </w:r>
            <w:r w:rsidR="0066126F">
              <w:t>2023-05-03</w:t>
            </w:r>
            <w:r>
              <w:t>/13</w:t>
            </w:r>
          </w:p>
        </w:tc>
        <w:tc>
          <w:tcPr>
            <w:tcW w:w="6663" w:type="dxa"/>
            <w:tcBorders>
              <w:top w:val="single" w:sz="4" w:space="0" w:color="auto"/>
              <w:bottom w:val="single" w:sz="4" w:space="0" w:color="auto"/>
            </w:tcBorders>
            <w:shd w:val="clear" w:color="auto" w:fill="D9D9D9" w:themeFill="background1" w:themeFillShade="D9"/>
          </w:tcPr>
          <w:p w14:paraId="1C06AA54" w14:textId="237B8085" w:rsidR="00FC69B5" w:rsidRPr="008A753B" w:rsidRDefault="00FC69B5" w:rsidP="00FC69B5">
            <w:pPr>
              <w:pStyle w:val="Heading2"/>
            </w:pPr>
            <w:r>
              <w:t>ANNUAL CYCLE OF BUSINESS 2022/23</w:t>
            </w:r>
          </w:p>
        </w:tc>
        <w:tc>
          <w:tcPr>
            <w:tcW w:w="1984" w:type="dxa"/>
            <w:tcBorders>
              <w:top w:val="single" w:sz="4" w:space="0" w:color="auto"/>
              <w:bottom w:val="single" w:sz="4" w:space="0" w:color="auto"/>
            </w:tcBorders>
            <w:shd w:val="clear" w:color="auto" w:fill="D9D9D9" w:themeFill="background1" w:themeFillShade="D9"/>
          </w:tcPr>
          <w:p w14:paraId="46C120D2" w14:textId="7F1DE094" w:rsidR="00FC69B5" w:rsidRPr="00627D42" w:rsidRDefault="00FC69B5" w:rsidP="00FC69B5">
            <w:pPr>
              <w:pStyle w:val="Heading3"/>
              <w:spacing w:before="60" w:after="60"/>
              <w:ind w:left="-113" w:right="-110"/>
              <w:jc w:val="right"/>
            </w:pPr>
            <w:r>
              <w:t>FEC/</w:t>
            </w:r>
            <w:r w:rsidR="0066126F">
              <w:t>2023-05-03</w:t>
            </w:r>
            <w:r>
              <w:t>/P13</w:t>
            </w:r>
          </w:p>
        </w:tc>
      </w:tr>
      <w:tr w:rsidR="00FC69B5" w:rsidRPr="008A753B" w14:paraId="112F0B85" w14:textId="77777777" w:rsidTr="3A98BE57">
        <w:tc>
          <w:tcPr>
            <w:tcW w:w="1560" w:type="dxa"/>
            <w:tcBorders>
              <w:top w:val="single" w:sz="4" w:space="0" w:color="auto"/>
            </w:tcBorders>
          </w:tcPr>
          <w:p w14:paraId="123A7AE9" w14:textId="2DE39796" w:rsidR="00FC69B5" w:rsidRPr="008A753B" w:rsidRDefault="00FC69B5" w:rsidP="00FC69B5">
            <w:pPr>
              <w:spacing w:before="60" w:after="60"/>
              <w:ind w:left="-106" w:right="-108"/>
              <w:rPr>
                <w:sz w:val="24"/>
                <w:szCs w:val="24"/>
              </w:rPr>
            </w:pPr>
            <w:r>
              <w:rPr>
                <w:sz w:val="24"/>
                <w:szCs w:val="24"/>
              </w:rPr>
              <w:t>13.1</w:t>
            </w:r>
          </w:p>
        </w:tc>
        <w:tc>
          <w:tcPr>
            <w:tcW w:w="8647" w:type="dxa"/>
            <w:gridSpan w:val="2"/>
            <w:tcBorders>
              <w:top w:val="single" w:sz="4" w:space="0" w:color="auto"/>
            </w:tcBorders>
          </w:tcPr>
          <w:p w14:paraId="688A0001" w14:textId="6C39E471" w:rsidR="00FC69B5" w:rsidRPr="008A753B" w:rsidRDefault="00FC69B5" w:rsidP="00FC69B5">
            <w:pPr>
              <w:spacing w:before="60" w:after="60"/>
              <w:rPr>
                <w:sz w:val="24"/>
                <w:szCs w:val="24"/>
              </w:rPr>
            </w:pPr>
            <w:r>
              <w:rPr>
                <w:sz w:val="24"/>
                <w:szCs w:val="24"/>
              </w:rPr>
              <w:t>FEC received the forward cycle of Committee business for the 2022/3 academic year.</w:t>
            </w:r>
          </w:p>
        </w:tc>
      </w:tr>
      <w:tr w:rsidR="00FC69B5" w:rsidRPr="008A753B" w14:paraId="7CC4D9A7" w14:textId="77777777" w:rsidTr="3A98BE57">
        <w:tc>
          <w:tcPr>
            <w:tcW w:w="1560" w:type="dxa"/>
            <w:tcBorders>
              <w:top w:val="single" w:sz="4" w:space="0" w:color="auto"/>
              <w:bottom w:val="single" w:sz="4" w:space="0" w:color="auto"/>
            </w:tcBorders>
            <w:shd w:val="clear" w:color="auto" w:fill="D9D9D9" w:themeFill="background1" w:themeFillShade="D9"/>
          </w:tcPr>
          <w:p w14:paraId="05832792" w14:textId="572606D1" w:rsidR="00FC69B5" w:rsidRPr="00A85DEC" w:rsidRDefault="00FC69B5" w:rsidP="00FC69B5">
            <w:pPr>
              <w:pStyle w:val="Heading3"/>
              <w:spacing w:before="60" w:after="60"/>
              <w:ind w:left="-106" w:right="-108"/>
              <w:rPr>
                <w:sz w:val="20"/>
                <w:szCs w:val="20"/>
              </w:rPr>
            </w:pPr>
            <w:r>
              <w:t>FEC/</w:t>
            </w:r>
            <w:r w:rsidR="0066126F">
              <w:t>2023-05-03</w:t>
            </w:r>
            <w:r>
              <w:t>/1</w:t>
            </w:r>
            <w:r w:rsidR="000C3E1C">
              <w:t>4</w:t>
            </w:r>
          </w:p>
        </w:tc>
        <w:tc>
          <w:tcPr>
            <w:tcW w:w="6663" w:type="dxa"/>
            <w:tcBorders>
              <w:top w:val="single" w:sz="4" w:space="0" w:color="auto"/>
              <w:bottom w:val="single" w:sz="4" w:space="0" w:color="auto"/>
            </w:tcBorders>
            <w:shd w:val="clear" w:color="auto" w:fill="D9D9D9" w:themeFill="background1" w:themeFillShade="D9"/>
          </w:tcPr>
          <w:p w14:paraId="591100C3" w14:textId="3BAF4769" w:rsidR="00FC69B5" w:rsidRPr="00A85DEC" w:rsidRDefault="00FC69B5" w:rsidP="00FC69B5">
            <w:pPr>
              <w:pStyle w:val="Heading2"/>
              <w:rPr>
                <w:sz w:val="20"/>
                <w:szCs w:val="20"/>
              </w:rPr>
            </w:pPr>
            <w:r w:rsidRPr="00A85DEC">
              <w:t>ANY URGENT BUSINESS</w:t>
            </w:r>
          </w:p>
        </w:tc>
        <w:tc>
          <w:tcPr>
            <w:tcW w:w="1984" w:type="dxa"/>
            <w:tcBorders>
              <w:top w:val="single" w:sz="4" w:space="0" w:color="auto"/>
              <w:bottom w:val="single" w:sz="4" w:space="0" w:color="auto"/>
            </w:tcBorders>
            <w:shd w:val="clear" w:color="auto" w:fill="D9D9D9" w:themeFill="background1" w:themeFillShade="D9"/>
          </w:tcPr>
          <w:p w14:paraId="35E712B1" w14:textId="6AD32EA3" w:rsidR="00FC69B5" w:rsidRPr="008A753B" w:rsidRDefault="00FC69B5" w:rsidP="00FC69B5">
            <w:pPr>
              <w:spacing w:before="60" w:after="60"/>
              <w:ind w:right="-109"/>
              <w:jc w:val="right"/>
              <w:rPr>
                <w:sz w:val="24"/>
                <w:szCs w:val="24"/>
              </w:rPr>
            </w:pPr>
          </w:p>
        </w:tc>
      </w:tr>
      <w:tr w:rsidR="00FC69B5" w:rsidRPr="008A753B" w14:paraId="730EC16F" w14:textId="77777777" w:rsidTr="3A98BE57">
        <w:tc>
          <w:tcPr>
            <w:tcW w:w="1560" w:type="dxa"/>
            <w:tcBorders>
              <w:top w:val="single" w:sz="4" w:space="0" w:color="auto"/>
              <w:bottom w:val="single" w:sz="4" w:space="0" w:color="auto"/>
            </w:tcBorders>
          </w:tcPr>
          <w:p w14:paraId="26DED534" w14:textId="43FC0EB7" w:rsidR="00FC69B5" w:rsidRPr="008A753B" w:rsidRDefault="00FC69B5" w:rsidP="00FC69B5">
            <w:pPr>
              <w:spacing w:before="60" w:after="60"/>
              <w:ind w:left="-106" w:right="-108"/>
              <w:rPr>
                <w:sz w:val="24"/>
                <w:szCs w:val="24"/>
              </w:rPr>
            </w:pPr>
            <w:r>
              <w:rPr>
                <w:sz w:val="24"/>
                <w:szCs w:val="24"/>
              </w:rPr>
              <w:t>14.1</w:t>
            </w:r>
          </w:p>
        </w:tc>
        <w:tc>
          <w:tcPr>
            <w:tcW w:w="8647" w:type="dxa"/>
            <w:gridSpan w:val="2"/>
            <w:tcBorders>
              <w:top w:val="single" w:sz="4" w:space="0" w:color="auto"/>
              <w:bottom w:val="single" w:sz="4" w:space="0" w:color="auto"/>
            </w:tcBorders>
          </w:tcPr>
          <w:p w14:paraId="4DA5F758" w14:textId="6A91950A" w:rsidR="00FC69B5" w:rsidRPr="008A753B" w:rsidRDefault="00FC69B5" w:rsidP="00FC69B5">
            <w:pPr>
              <w:spacing w:before="60" w:after="60"/>
              <w:rPr>
                <w:sz w:val="24"/>
                <w:szCs w:val="24"/>
              </w:rPr>
            </w:pPr>
            <w:r>
              <w:rPr>
                <w:sz w:val="24"/>
                <w:szCs w:val="24"/>
              </w:rPr>
              <w:t xml:space="preserve">There was no other business. </w:t>
            </w:r>
          </w:p>
        </w:tc>
      </w:tr>
      <w:tr w:rsidR="00FC69B5" w:rsidRPr="008A753B" w14:paraId="2CF122DD" w14:textId="77777777" w:rsidTr="3A98BE57">
        <w:tc>
          <w:tcPr>
            <w:tcW w:w="1560" w:type="dxa"/>
            <w:tcBorders>
              <w:top w:val="single" w:sz="4" w:space="0" w:color="auto"/>
              <w:bottom w:val="single" w:sz="4" w:space="0" w:color="auto"/>
            </w:tcBorders>
            <w:shd w:val="clear" w:color="auto" w:fill="D9D9D9" w:themeFill="background1" w:themeFillShade="D9"/>
          </w:tcPr>
          <w:p w14:paraId="22055F93" w14:textId="5309BA5D" w:rsidR="00FC69B5" w:rsidRPr="008A753B" w:rsidRDefault="00FC69B5" w:rsidP="00FC69B5">
            <w:pPr>
              <w:pStyle w:val="Heading3"/>
              <w:spacing w:before="60" w:after="60"/>
              <w:ind w:left="-106" w:right="-108"/>
              <w:rPr>
                <w:sz w:val="24"/>
              </w:rPr>
            </w:pPr>
            <w:r>
              <w:t>FEC/2122-09-20/15</w:t>
            </w:r>
          </w:p>
        </w:tc>
        <w:tc>
          <w:tcPr>
            <w:tcW w:w="6663" w:type="dxa"/>
            <w:tcBorders>
              <w:top w:val="single" w:sz="4" w:space="0" w:color="auto"/>
              <w:bottom w:val="single" w:sz="4" w:space="0" w:color="auto"/>
            </w:tcBorders>
            <w:shd w:val="clear" w:color="auto" w:fill="D9D9D9" w:themeFill="background1" w:themeFillShade="D9"/>
          </w:tcPr>
          <w:p w14:paraId="307467DD" w14:textId="7E90BE89" w:rsidR="00FC69B5" w:rsidRPr="008A753B" w:rsidRDefault="00FC69B5" w:rsidP="00FC69B5">
            <w:pPr>
              <w:pStyle w:val="Heading2"/>
            </w:pPr>
            <w:r w:rsidRPr="008A753B">
              <w:t xml:space="preserve">DATE OF THE NEXT </w:t>
            </w:r>
            <w:r>
              <w:t>M</w:t>
            </w:r>
            <w:r w:rsidRPr="008A753B">
              <w:t>EETING</w:t>
            </w:r>
          </w:p>
        </w:tc>
        <w:tc>
          <w:tcPr>
            <w:tcW w:w="1984" w:type="dxa"/>
            <w:tcBorders>
              <w:top w:val="single" w:sz="4" w:space="0" w:color="auto"/>
              <w:bottom w:val="single" w:sz="4" w:space="0" w:color="auto"/>
            </w:tcBorders>
            <w:shd w:val="clear" w:color="auto" w:fill="D9D9D9" w:themeFill="background1" w:themeFillShade="D9"/>
          </w:tcPr>
          <w:p w14:paraId="1FFC4BB5" w14:textId="77777777" w:rsidR="00FC69B5" w:rsidRPr="008A753B" w:rsidRDefault="00FC69B5" w:rsidP="00FC69B5">
            <w:pPr>
              <w:spacing w:before="60" w:after="60"/>
              <w:jc w:val="right"/>
              <w:rPr>
                <w:sz w:val="24"/>
                <w:szCs w:val="24"/>
              </w:rPr>
            </w:pPr>
          </w:p>
        </w:tc>
      </w:tr>
      <w:tr w:rsidR="00FC69B5" w:rsidRPr="008A753B" w14:paraId="29BAEE99" w14:textId="77777777" w:rsidTr="3A98BE57">
        <w:tc>
          <w:tcPr>
            <w:tcW w:w="1560" w:type="dxa"/>
            <w:tcBorders>
              <w:top w:val="single" w:sz="4" w:space="0" w:color="auto"/>
              <w:bottom w:val="single" w:sz="4" w:space="0" w:color="auto"/>
            </w:tcBorders>
          </w:tcPr>
          <w:p w14:paraId="39D35665" w14:textId="5D2104E5" w:rsidR="00FC69B5" w:rsidRPr="008A753B" w:rsidRDefault="00FC69B5" w:rsidP="00FC69B5">
            <w:pPr>
              <w:spacing w:before="60" w:after="60"/>
              <w:ind w:left="-106" w:right="-108"/>
              <w:rPr>
                <w:sz w:val="24"/>
                <w:szCs w:val="24"/>
              </w:rPr>
            </w:pPr>
            <w:r>
              <w:rPr>
                <w:sz w:val="24"/>
                <w:szCs w:val="24"/>
              </w:rPr>
              <w:t>15.1</w:t>
            </w:r>
          </w:p>
        </w:tc>
        <w:tc>
          <w:tcPr>
            <w:tcW w:w="8647" w:type="dxa"/>
            <w:gridSpan w:val="2"/>
            <w:tcBorders>
              <w:top w:val="single" w:sz="4" w:space="0" w:color="auto"/>
              <w:bottom w:val="single" w:sz="4" w:space="0" w:color="auto"/>
            </w:tcBorders>
          </w:tcPr>
          <w:p w14:paraId="7BD4B1EE" w14:textId="1912632C" w:rsidR="00FC69B5" w:rsidRPr="00903567" w:rsidRDefault="00FC69B5" w:rsidP="00FC69B5">
            <w:pPr>
              <w:spacing w:before="60" w:after="60"/>
              <w:rPr>
                <w:sz w:val="24"/>
                <w:szCs w:val="24"/>
              </w:rPr>
            </w:pPr>
            <w:r>
              <w:rPr>
                <w:color w:val="000000" w:themeColor="text1"/>
                <w:sz w:val="24"/>
                <w:szCs w:val="24"/>
              </w:rPr>
              <w:t>Wednesday, 21 June 2023</w:t>
            </w:r>
            <w:r w:rsidRPr="00903567">
              <w:rPr>
                <w:color w:val="000000" w:themeColor="text1"/>
                <w:sz w:val="24"/>
                <w:szCs w:val="24"/>
              </w:rPr>
              <w:t>, 15.00-18.0</w:t>
            </w:r>
            <w:r>
              <w:rPr>
                <w:color w:val="000000" w:themeColor="text1"/>
                <w:sz w:val="24"/>
                <w:szCs w:val="24"/>
              </w:rPr>
              <w:t>0</w:t>
            </w:r>
          </w:p>
        </w:tc>
      </w:tr>
    </w:tbl>
    <w:p w14:paraId="264B8D5A" w14:textId="77777777" w:rsidR="002809E2" w:rsidRPr="008A753B" w:rsidRDefault="002809E2">
      <w:pPr>
        <w:rPr>
          <w:sz w:val="24"/>
          <w:szCs w:val="24"/>
        </w:rPr>
      </w:pPr>
    </w:p>
    <w:sectPr w:rsidR="002809E2" w:rsidRPr="008A753B" w:rsidSect="00FB57BB">
      <w:headerReference w:type="default" r:id="rId7"/>
      <w:footerReference w:type="default" r:id="rId8"/>
      <w:headerReference w:type="first" r:id="rId9"/>
      <w:footerReference w:type="first" r:id="rId10"/>
      <w:pgSz w:w="11906" w:h="16838"/>
      <w:pgMar w:top="1134" w:right="1134" w:bottom="993" w:left="1440" w:header="426" w:footer="3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74EAE" w14:textId="77777777" w:rsidR="00F61450" w:rsidRDefault="00F61450" w:rsidP="0000042C">
      <w:pPr>
        <w:spacing w:after="0" w:line="240" w:lineRule="auto"/>
      </w:pPr>
      <w:r>
        <w:separator/>
      </w:r>
    </w:p>
  </w:endnote>
  <w:endnote w:type="continuationSeparator" w:id="0">
    <w:p w14:paraId="3107F2EF" w14:textId="77777777" w:rsidR="00F61450" w:rsidRDefault="00F61450" w:rsidP="0000042C">
      <w:pPr>
        <w:spacing w:after="0" w:line="240" w:lineRule="auto"/>
      </w:pPr>
      <w:r>
        <w:continuationSeparator/>
      </w:r>
    </w:p>
  </w:endnote>
  <w:endnote w:type="continuationNotice" w:id="1">
    <w:p w14:paraId="2F5D4923" w14:textId="77777777" w:rsidR="00A53483" w:rsidRDefault="00A534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621B40"/>
        <w:sz w:val="16"/>
        <w:szCs w:val="16"/>
      </w:rPr>
      <w:id w:val="1218164434"/>
      <w:docPartObj>
        <w:docPartGallery w:val="Page Numbers (Bottom of Page)"/>
        <w:docPartUnique/>
      </w:docPartObj>
    </w:sdtPr>
    <w:sdtEndPr/>
    <w:sdtContent>
      <w:sdt>
        <w:sdtPr>
          <w:rPr>
            <w:color w:val="621B40"/>
            <w:sz w:val="16"/>
            <w:szCs w:val="16"/>
          </w:rPr>
          <w:id w:val="-1769616900"/>
          <w:docPartObj>
            <w:docPartGallery w:val="Page Numbers (Top of Page)"/>
            <w:docPartUnique/>
          </w:docPartObj>
        </w:sdtPr>
        <w:sdtEndPr/>
        <w:sdtContent>
          <w:p w14:paraId="49EE1B61" w14:textId="00157540" w:rsidR="009F2503" w:rsidRPr="009F2503" w:rsidRDefault="009F2503">
            <w:pPr>
              <w:pStyle w:val="Footer"/>
              <w:jc w:val="right"/>
              <w:rPr>
                <w:color w:val="621B40"/>
                <w:sz w:val="16"/>
                <w:szCs w:val="16"/>
              </w:rPr>
            </w:pPr>
            <w:r w:rsidRPr="0000237B">
              <w:rPr>
                <w:sz w:val="16"/>
                <w:szCs w:val="16"/>
              </w:rPr>
              <w:t xml:space="preserve">Page </w:t>
            </w:r>
            <w:r w:rsidRPr="0000237B">
              <w:rPr>
                <w:b/>
                <w:bCs/>
                <w:sz w:val="16"/>
                <w:szCs w:val="16"/>
              </w:rPr>
              <w:fldChar w:fldCharType="begin"/>
            </w:r>
            <w:r w:rsidRPr="0000237B">
              <w:rPr>
                <w:b/>
                <w:bCs/>
                <w:sz w:val="16"/>
                <w:szCs w:val="16"/>
              </w:rPr>
              <w:instrText xml:space="preserve"> PAGE </w:instrText>
            </w:r>
            <w:r w:rsidRPr="0000237B">
              <w:rPr>
                <w:b/>
                <w:bCs/>
                <w:sz w:val="16"/>
                <w:szCs w:val="16"/>
              </w:rPr>
              <w:fldChar w:fldCharType="separate"/>
            </w:r>
            <w:r w:rsidRPr="0000237B">
              <w:rPr>
                <w:b/>
                <w:bCs/>
                <w:noProof/>
                <w:sz w:val="16"/>
                <w:szCs w:val="16"/>
              </w:rPr>
              <w:t>2</w:t>
            </w:r>
            <w:r w:rsidRPr="0000237B">
              <w:rPr>
                <w:b/>
                <w:bCs/>
                <w:sz w:val="16"/>
                <w:szCs w:val="16"/>
              </w:rPr>
              <w:fldChar w:fldCharType="end"/>
            </w:r>
            <w:r w:rsidRPr="0000237B">
              <w:rPr>
                <w:sz w:val="16"/>
                <w:szCs w:val="16"/>
              </w:rPr>
              <w:t xml:space="preserve"> of </w:t>
            </w:r>
            <w:r w:rsidRPr="0000237B">
              <w:rPr>
                <w:b/>
                <w:bCs/>
                <w:sz w:val="16"/>
                <w:szCs w:val="16"/>
              </w:rPr>
              <w:fldChar w:fldCharType="begin"/>
            </w:r>
            <w:r w:rsidRPr="0000237B">
              <w:rPr>
                <w:b/>
                <w:bCs/>
                <w:sz w:val="16"/>
                <w:szCs w:val="16"/>
              </w:rPr>
              <w:instrText xml:space="preserve"> NUMPAGES  </w:instrText>
            </w:r>
            <w:r w:rsidRPr="0000237B">
              <w:rPr>
                <w:b/>
                <w:bCs/>
                <w:sz w:val="16"/>
                <w:szCs w:val="16"/>
              </w:rPr>
              <w:fldChar w:fldCharType="separate"/>
            </w:r>
            <w:r w:rsidRPr="0000237B">
              <w:rPr>
                <w:b/>
                <w:bCs/>
                <w:noProof/>
                <w:sz w:val="16"/>
                <w:szCs w:val="16"/>
              </w:rPr>
              <w:t>2</w:t>
            </w:r>
            <w:r w:rsidRPr="0000237B">
              <w:rPr>
                <w:b/>
                <w:bCs/>
                <w:sz w:val="16"/>
                <w:szCs w:val="16"/>
              </w:rPr>
              <w:fldChar w:fldCharType="end"/>
            </w:r>
          </w:p>
        </w:sdtContent>
      </w:sdt>
    </w:sdtContent>
  </w:sdt>
  <w:p w14:paraId="0BD986FC" w14:textId="77777777" w:rsidR="008B3E3D" w:rsidRDefault="008B3E3D" w:rsidP="005566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2E018" w14:textId="620BE9CC" w:rsidR="0000237B" w:rsidRPr="00826269" w:rsidRDefault="0000237B" w:rsidP="0000237B">
    <w:pPr>
      <w:pStyle w:val="Footer"/>
      <w:jc w:val="right"/>
      <w:rPr>
        <w:color w:val="621B40"/>
        <w:sz w:val="24"/>
        <w:szCs w:val="24"/>
      </w:rPr>
    </w:pPr>
    <w:r w:rsidRPr="00826269">
      <w:rPr>
        <w:sz w:val="24"/>
        <w:szCs w:val="24"/>
      </w:rPr>
      <w:t xml:space="preserve">Page </w:t>
    </w:r>
    <w:r w:rsidRPr="00826269">
      <w:rPr>
        <w:b/>
        <w:bCs/>
        <w:sz w:val="24"/>
        <w:szCs w:val="24"/>
      </w:rPr>
      <w:fldChar w:fldCharType="begin"/>
    </w:r>
    <w:r w:rsidRPr="00826269">
      <w:rPr>
        <w:b/>
        <w:bCs/>
        <w:sz w:val="24"/>
        <w:szCs w:val="24"/>
      </w:rPr>
      <w:instrText xml:space="preserve"> PAGE </w:instrText>
    </w:r>
    <w:r w:rsidRPr="00826269">
      <w:rPr>
        <w:b/>
        <w:bCs/>
        <w:sz w:val="24"/>
        <w:szCs w:val="24"/>
      </w:rPr>
      <w:fldChar w:fldCharType="separate"/>
    </w:r>
    <w:r w:rsidRPr="00826269">
      <w:rPr>
        <w:b/>
        <w:bCs/>
        <w:sz w:val="24"/>
        <w:szCs w:val="24"/>
      </w:rPr>
      <w:t>2</w:t>
    </w:r>
    <w:r w:rsidRPr="00826269">
      <w:rPr>
        <w:b/>
        <w:bCs/>
        <w:sz w:val="24"/>
        <w:szCs w:val="24"/>
      </w:rPr>
      <w:fldChar w:fldCharType="end"/>
    </w:r>
    <w:r w:rsidRPr="00826269">
      <w:rPr>
        <w:sz w:val="24"/>
        <w:szCs w:val="24"/>
      </w:rPr>
      <w:t xml:space="preserve"> of </w:t>
    </w:r>
    <w:r w:rsidRPr="00826269">
      <w:rPr>
        <w:b/>
        <w:bCs/>
        <w:sz w:val="24"/>
        <w:szCs w:val="24"/>
      </w:rPr>
      <w:fldChar w:fldCharType="begin"/>
    </w:r>
    <w:r w:rsidRPr="00826269">
      <w:rPr>
        <w:b/>
        <w:bCs/>
        <w:sz w:val="24"/>
        <w:szCs w:val="24"/>
      </w:rPr>
      <w:instrText xml:space="preserve"> NUMPAGES  </w:instrText>
    </w:r>
    <w:r w:rsidRPr="00826269">
      <w:rPr>
        <w:b/>
        <w:bCs/>
        <w:sz w:val="24"/>
        <w:szCs w:val="24"/>
      </w:rPr>
      <w:fldChar w:fldCharType="separate"/>
    </w:r>
    <w:r w:rsidRPr="00826269">
      <w:rPr>
        <w:b/>
        <w:bCs/>
        <w:sz w:val="24"/>
        <w:szCs w:val="24"/>
      </w:rPr>
      <w:t>2</w:t>
    </w:r>
    <w:r w:rsidRPr="00826269">
      <w:rPr>
        <w:b/>
        <w:bCs/>
        <w:sz w:val="24"/>
        <w:szCs w:val="24"/>
      </w:rPr>
      <w:fldChar w:fldCharType="end"/>
    </w:r>
  </w:p>
  <w:p w14:paraId="1D0396FB" w14:textId="77777777" w:rsidR="0000237B" w:rsidRDefault="000023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6709F" w14:textId="77777777" w:rsidR="00F61450" w:rsidRDefault="00F61450" w:rsidP="0000042C">
      <w:pPr>
        <w:spacing w:after="0" w:line="240" w:lineRule="auto"/>
      </w:pPr>
      <w:r>
        <w:separator/>
      </w:r>
    </w:p>
  </w:footnote>
  <w:footnote w:type="continuationSeparator" w:id="0">
    <w:p w14:paraId="147396E6" w14:textId="77777777" w:rsidR="00F61450" w:rsidRDefault="00F61450" w:rsidP="0000042C">
      <w:pPr>
        <w:spacing w:after="0" w:line="240" w:lineRule="auto"/>
      </w:pPr>
      <w:r>
        <w:continuationSeparator/>
      </w:r>
    </w:p>
  </w:footnote>
  <w:footnote w:type="continuationNotice" w:id="1">
    <w:p w14:paraId="3D35CDCE" w14:textId="77777777" w:rsidR="00A53483" w:rsidRDefault="00A534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1"/>
      <w:gridCol w:w="4961"/>
      <w:gridCol w:w="2835"/>
    </w:tblGrid>
    <w:tr w:rsidR="00FB57BB" w:rsidRPr="00131BC8" w14:paraId="0F6DE17A" w14:textId="77777777" w:rsidTr="00395C89">
      <w:tc>
        <w:tcPr>
          <w:tcW w:w="2411" w:type="dxa"/>
        </w:tcPr>
        <w:p w14:paraId="1A244A04" w14:textId="77777777" w:rsidR="00FB57BB" w:rsidRPr="0000042C" w:rsidRDefault="00FB57BB" w:rsidP="00FB57BB">
          <w:pPr>
            <w:pStyle w:val="Header"/>
            <w:rPr>
              <w:b/>
              <w:bCs/>
            </w:rPr>
          </w:pPr>
          <w:r w:rsidRPr="0000042C">
            <w:rPr>
              <w:b/>
              <w:bCs/>
              <w:noProof/>
            </w:rPr>
            <w:drawing>
              <wp:inline distT="0" distB="0" distL="0" distR="0" wp14:anchorId="056FBD4C" wp14:editId="2ABDB406">
                <wp:extent cx="894853" cy="480060"/>
                <wp:effectExtent l="0" t="0" r="635" b="0"/>
                <wp:docPr id="9" name="Picture 9" descr="Sheffield Hallam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descr="Sheffield Hallam University Logo"/>
                        <pic:cNvPicPr/>
                      </pic:nvPicPr>
                      <pic:blipFill>
                        <a:blip r:embed="rId1">
                          <a:extLst>
                            <a:ext uri="{28A0092B-C50C-407E-A947-70E740481C1C}">
                              <a14:useLocalDpi xmlns:a14="http://schemas.microsoft.com/office/drawing/2010/main" val="0"/>
                            </a:ext>
                          </a:extLst>
                        </a:blip>
                        <a:stretch>
                          <a:fillRect/>
                        </a:stretch>
                      </pic:blipFill>
                      <pic:spPr>
                        <a:xfrm>
                          <a:off x="0" y="0"/>
                          <a:ext cx="901198" cy="483464"/>
                        </a:xfrm>
                        <a:prstGeom prst="rect">
                          <a:avLst/>
                        </a:prstGeom>
                      </pic:spPr>
                    </pic:pic>
                  </a:graphicData>
                </a:graphic>
              </wp:inline>
            </w:drawing>
          </w:r>
        </w:p>
      </w:tc>
      <w:tc>
        <w:tcPr>
          <w:tcW w:w="4961" w:type="dxa"/>
        </w:tcPr>
        <w:p w14:paraId="7D384926" w14:textId="4C226EE0" w:rsidR="00FB57BB" w:rsidRPr="00131BC8" w:rsidRDefault="008D0F20" w:rsidP="00FB57BB">
          <w:pPr>
            <w:pStyle w:val="Header"/>
            <w:jc w:val="center"/>
            <w:rPr>
              <w:b/>
              <w:bCs/>
              <w:sz w:val="24"/>
              <w:szCs w:val="24"/>
            </w:rPr>
          </w:pPr>
          <w:r>
            <w:rPr>
              <w:b/>
              <w:bCs/>
              <w:sz w:val="24"/>
              <w:szCs w:val="24"/>
            </w:rPr>
            <w:t>FINANCE AND EMPLOYMENT COMMITTEE</w:t>
          </w:r>
        </w:p>
      </w:tc>
      <w:tc>
        <w:tcPr>
          <w:tcW w:w="2835" w:type="dxa"/>
        </w:tcPr>
        <w:p w14:paraId="735B44DE" w14:textId="3C285AB0" w:rsidR="00FB57BB" w:rsidRPr="00131BC8" w:rsidRDefault="008D0F20" w:rsidP="00FB57BB">
          <w:pPr>
            <w:pStyle w:val="Header"/>
            <w:jc w:val="right"/>
            <w:rPr>
              <w:b/>
              <w:bCs/>
              <w:sz w:val="24"/>
              <w:szCs w:val="24"/>
            </w:rPr>
          </w:pPr>
          <w:r>
            <w:rPr>
              <w:b/>
              <w:bCs/>
              <w:sz w:val="24"/>
              <w:szCs w:val="24"/>
            </w:rPr>
            <w:t>FEC</w:t>
          </w:r>
          <w:r w:rsidR="00FB57BB" w:rsidRPr="00131BC8">
            <w:rPr>
              <w:b/>
              <w:bCs/>
              <w:sz w:val="24"/>
              <w:szCs w:val="24"/>
            </w:rPr>
            <w:t>/</w:t>
          </w:r>
          <w:r w:rsidR="00A93902">
            <w:rPr>
              <w:b/>
              <w:bCs/>
              <w:sz w:val="24"/>
              <w:szCs w:val="24"/>
            </w:rPr>
            <w:t>2023-0</w:t>
          </w:r>
          <w:r w:rsidR="00B90E01">
            <w:rPr>
              <w:b/>
              <w:bCs/>
              <w:sz w:val="24"/>
              <w:szCs w:val="24"/>
            </w:rPr>
            <w:t>5</w:t>
          </w:r>
          <w:r w:rsidR="00A93902">
            <w:rPr>
              <w:b/>
              <w:bCs/>
              <w:sz w:val="24"/>
              <w:szCs w:val="24"/>
            </w:rPr>
            <w:t>-0</w:t>
          </w:r>
          <w:r w:rsidR="00B90E01">
            <w:rPr>
              <w:b/>
              <w:bCs/>
              <w:sz w:val="24"/>
              <w:szCs w:val="24"/>
            </w:rPr>
            <w:t>3</w:t>
          </w:r>
          <w:r w:rsidR="005A7B0B">
            <w:rPr>
              <w:b/>
              <w:bCs/>
              <w:sz w:val="24"/>
              <w:szCs w:val="24"/>
            </w:rPr>
            <w:t>/</w:t>
          </w:r>
          <w:r w:rsidR="00FB57BB" w:rsidRPr="00131BC8">
            <w:rPr>
              <w:b/>
              <w:bCs/>
              <w:sz w:val="24"/>
              <w:szCs w:val="24"/>
            </w:rPr>
            <w:t>M</w:t>
          </w:r>
        </w:p>
      </w:tc>
    </w:tr>
  </w:tbl>
  <w:p w14:paraId="7272B7C7" w14:textId="0962911D" w:rsidR="008A75E7" w:rsidRDefault="008A75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5386"/>
      <w:gridCol w:w="2268"/>
    </w:tblGrid>
    <w:tr w:rsidR="0000237B" w:rsidRPr="00131BC8" w14:paraId="385E976F" w14:textId="77777777" w:rsidTr="00F2576B">
      <w:tc>
        <w:tcPr>
          <w:tcW w:w="1985" w:type="dxa"/>
        </w:tcPr>
        <w:p w14:paraId="1EDD1CEB" w14:textId="77777777" w:rsidR="0000237B" w:rsidRPr="0000042C" w:rsidRDefault="0000237B" w:rsidP="0000237B">
          <w:pPr>
            <w:pStyle w:val="Header"/>
            <w:rPr>
              <w:b/>
              <w:bCs/>
            </w:rPr>
          </w:pPr>
          <w:r w:rsidRPr="0000042C">
            <w:rPr>
              <w:b/>
              <w:bCs/>
              <w:noProof/>
            </w:rPr>
            <w:drawing>
              <wp:inline distT="0" distB="0" distL="0" distR="0" wp14:anchorId="1FE453DE" wp14:editId="17210FA0">
                <wp:extent cx="894853" cy="480060"/>
                <wp:effectExtent l="0" t="0" r="635" b="0"/>
                <wp:docPr id="8" name="Picture 8" descr="Sheffield Hallam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descr="Sheffield Hallam University Logo"/>
                        <pic:cNvPicPr/>
                      </pic:nvPicPr>
                      <pic:blipFill>
                        <a:blip r:embed="rId1">
                          <a:extLst>
                            <a:ext uri="{28A0092B-C50C-407E-A947-70E740481C1C}">
                              <a14:useLocalDpi xmlns:a14="http://schemas.microsoft.com/office/drawing/2010/main" val="0"/>
                            </a:ext>
                          </a:extLst>
                        </a:blip>
                        <a:stretch>
                          <a:fillRect/>
                        </a:stretch>
                      </pic:blipFill>
                      <pic:spPr>
                        <a:xfrm>
                          <a:off x="0" y="0"/>
                          <a:ext cx="901198" cy="483464"/>
                        </a:xfrm>
                        <a:prstGeom prst="rect">
                          <a:avLst/>
                        </a:prstGeom>
                      </pic:spPr>
                    </pic:pic>
                  </a:graphicData>
                </a:graphic>
              </wp:inline>
            </w:drawing>
          </w:r>
        </w:p>
      </w:tc>
      <w:tc>
        <w:tcPr>
          <w:tcW w:w="5386" w:type="dxa"/>
        </w:tcPr>
        <w:p w14:paraId="23AB27DC" w14:textId="77777777" w:rsidR="0000237B" w:rsidRPr="00131BC8" w:rsidRDefault="0000237B" w:rsidP="0000237B">
          <w:pPr>
            <w:pStyle w:val="Header"/>
            <w:jc w:val="center"/>
            <w:rPr>
              <w:b/>
              <w:bCs/>
              <w:sz w:val="24"/>
              <w:szCs w:val="24"/>
            </w:rPr>
          </w:pPr>
          <w:r w:rsidRPr="00131BC8">
            <w:rPr>
              <w:b/>
              <w:bCs/>
              <w:sz w:val="24"/>
              <w:szCs w:val="24"/>
            </w:rPr>
            <w:t>[COMMITTEE NAME]</w:t>
          </w:r>
        </w:p>
      </w:tc>
      <w:tc>
        <w:tcPr>
          <w:tcW w:w="2268" w:type="dxa"/>
        </w:tcPr>
        <w:p w14:paraId="7824D725" w14:textId="58C41255" w:rsidR="0000237B" w:rsidRPr="00131BC8" w:rsidRDefault="0000237B" w:rsidP="0000237B">
          <w:pPr>
            <w:pStyle w:val="Header"/>
            <w:jc w:val="right"/>
            <w:rPr>
              <w:b/>
              <w:bCs/>
              <w:sz w:val="24"/>
              <w:szCs w:val="24"/>
            </w:rPr>
          </w:pPr>
          <w:r w:rsidRPr="00131BC8">
            <w:rPr>
              <w:b/>
              <w:bCs/>
              <w:sz w:val="24"/>
              <w:szCs w:val="24"/>
            </w:rPr>
            <w:t>[COM/</w:t>
          </w:r>
          <w:r w:rsidR="00AA6DE3">
            <w:rPr>
              <w:b/>
              <w:bCs/>
              <w:sz w:val="24"/>
              <w:szCs w:val="24"/>
            </w:rPr>
            <w:t>YY</w:t>
          </w:r>
          <w:r w:rsidRPr="00131BC8">
            <w:rPr>
              <w:b/>
              <w:bCs/>
              <w:sz w:val="24"/>
              <w:szCs w:val="24"/>
            </w:rPr>
            <w:t>/MM</w:t>
          </w:r>
          <w:r w:rsidR="008A75E7">
            <w:rPr>
              <w:b/>
              <w:bCs/>
              <w:sz w:val="24"/>
              <w:szCs w:val="24"/>
            </w:rPr>
            <w:t>/</w:t>
          </w:r>
          <w:r w:rsidRPr="00131BC8">
            <w:rPr>
              <w:b/>
              <w:bCs/>
              <w:sz w:val="24"/>
              <w:szCs w:val="24"/>
            </w:rPr>
            <w:t>M]</w:t>
          </w:r>
        </w:p>
      </w:tc>
    </w:tr>
  </w:tbl>
  <w:p w14:paraId="1211EEBF" w14:textId="77777777" w:rsidR="0000237B" w:rsidRDefault="000023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81D5F"/>
    <w:multiLevelType w:val="hybridMultilevel"/>
    <w:tmpl w:val="3BB62F40"/>
    <w:lvl w:ilvl="0" w:tplc="8F6EF5B2">
      <w:start w:val="9"/>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D07565"/>
    <w:multiLevelType w:val="hybridMultilevel"/>
    <w:tmpl w:val="D92AD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F930FD"/>
    <w:multiLevelType w:val="hybridMultilevel"/>
    <w:tmpl w:val="F9C222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45A072E"/>
    <w:multiLevelType w:val="hybridMultilevel"/>
    <w:tmpl w:val="47BEA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42665B"/>
    <w:multiLevelType w:val="hybridMultilevel"/>
    <w:tmpl w:val="1598A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5A70D7"/>
    <w:multiLevelType w:val="hybridMultilevel"/>
    <w:tmpl w:val="34261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D15277"/>
    <w:multiLevelType w:val="hybridMultilevel"/>
    <w:tmpl w:val="BF0CC15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5F7F4CE6"/>
    <w:multiLevelType w:val="hybridMultilevel"/>
    <w:tmpl w:val="A3FEC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E461E02"/>
    <w:multiLevelType w:val="hybridMultilevel"/>
    <w:tmpl w:val="E3AE3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0118485">
    <w:abstractNumId w:val="2"/>
  </w:num>
  <w:num w:numId="2" w16cid:durableId="543565821">
    <w:abstractNumId w:val="0"/>
  </w:num>
  <w:num w:numId="3" w16cid:durableId="1986353847">
    <w:abstractNumId w:val="7"/>
  </w:num>
  <w:num w:numId="4" w16cid:durableId="1917204904">
    <w:abstractNumId w:val="3"/>
  </w:num>
  <w:num w:numId="5" w16cid:durableId="565336848">
    <w:abstractNumId w:val="6"/>
  </w:num>
  <w:num w:numId="6" w16cid:durableId="740373997">
    <w:abstractNumId w:val="1"/>
  </w:num>
  <w:num w:numId="7" w16cid:durableId="1341078141">
    <w:abstractNumId w:val="4"/>
  </w:num>
  <w:num w:numId="8" w16cid:durableId="1232037746">
    <w:abstractNumId w:val="5"/>
  </w:num>
  <w:num w:numId="9" w16cid:durableId="79450397">
    <w:abstractNumId w:val="8"/>
  </w:num>
  <w:num w:numId="10" w16cid:durableId="1901213719">
    <w:abstractNumId w:val="7"/>
  </w:num>
  <w:num w:numId="11" w16cid:durableId="1514998408">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tXRL0FJmZ/hpTr/qXXJGZcbn/I2s3fcAMXtBFzNuf4V8i1jYvK3Dm8+cZNfrfpqWj1WMIvEDDBzuye7lpTCEVg==" w:salt="de3V5Wp/Vl38L+yAwPlnt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42C"/>
    <w:rsid w:val="0000042C"/>
    <w:rsid w:val="0000237B"/>
    <w:rsid w:val="0000258A"/>
    <w:rsid w:val="00004D0F"/>
    <w:rsid w:val="00010FD6"/>
    <w:rsid w:val="00016934"/>
    <w:rsid w:val="000212D1"/>
    <w:rsid w:val="00021930"/>
    <w:rsid w:val="00022310"/>
    <w:rsid w:val="00022882"/>
    <w:rsid w:val="0002491F"/>
    <w:rsid w:val="00030C39"/>
    <w:rsid w:val="00031FAC"/>
    <w:rsid w:val="000325CC"/>
    <w:rsid w:val="00034317"/>
    <w:rsid w:val="00043BD7"/>
    <w:rsid w:val="00044D67"/>
    <w:rsid w:val="000537F8"/>
    <w:rsid w:val="00060BD9"/>
    <w:rsid w:val="00066A1C"/>
    <w:rsid w:val="000756D8"/>
    <w:rsid w:val="00075AE5"/>
    <w:rsid w:val="00084E5C"/>
    <w:rsid w:val="000A3273"/>
    <w:rsid w:val="000A582C"/>
    <w:rsid w:val="000B1151"/>
    <w:rsid w:val="000C27F3"/>
    <w:rsid w:val="000C29D9"/>
    <w:rsid w:val="000C2A74"/>
    <w:rsid w:val="000C39A5"/>
    <w:rsid w:val="000C3E1C"/>
    <w:rsid w:val="000C3E87"/>
    <w:rsid w:val="000C3EDD"/>
    <w:rsid w:val="000C520C"/>
    <w:rsid w:val="000C5DD7"/>
    <w:rsid w:val="000D113B"/>
    <w:rsid w:val="000D2C19"/>
    <w:rsid w:val="000D5C69"/>
    <w:rsid w:val="000D5DBD"/>
    <w:rsid w:val="000D79CD"/>
    <w:rsid w:val="000E0F0B"/>
    <w:rsid w:val="000E713A"/>
    <w:rsid w:val="000F66F0"/>
    <w:rsid w:val="000F6BD2"/>
    <w:rsid w:val="00103702"/>
    <w:rsid w:val="001074DB"/>
    <w:rsid w:val="00112F05"/>
    <w:rsid w:val="00120657"/>
    <w:rsid w:val="00124F9B"/>
    <w:rsid w:val="001278DA"/>
    <w:rsid w:val="00131BC8"/>
    <w:rsid w:val="001365FD"/>
    <w:rsid w:val="00136855"/>
    <w:rsid w:val="00136B49"/>
    <w:rsid w:val="00137A1E"/>
    <w:rsid w:val="001410E3"/>
    <w:rsid w:val="001433E4"/>
    <w:rsid w:val="001445D4"/>
    <w:rsid w:val="00145497"/>
    <w:rsid w:val="0015446D"/>
    <w:rsid w:val="0015494E"/>
    <w:rsid w:val="0016235B"/>
    <w:rsid w:val="00164593"/>
    <w:rsid w:val="00172CB8"/>
    <w:rsid w:val="00173C6D"/>
    <w:rsid w:val="00182FB3"/>
    <w:rsid w:val="00187913"/>
    <w:rsid w:val="00196781"/>
    <w:rsid w:val="00197053"/>
    <w:rsid w:val="001A5DAA"/>
    <w:rsid w:val="001B5143"/>
    <w:rsid w:val="001B59A0"/>
    <w:rsid w:val="001C62BE"/>
    <w:rsid w:val="001C6D99"/>
    <w:rsid w:val="001D3D3A"/>
    <w:rsid w:val="001D7879"/>
    <w:rsid w:val="001E11AF"/>
    <w:rsid w:val="001E1E88"/>
    <w:rsid w:val="001E5044"/>
    <w:rsid w:val="001E6829"/>
    <w:rsid w:val="00201C55"/>
    <w:rsid w:val="00204CD9"/>
    <w:rsid w:val="00205499"/>
    <w:rsid w:val="0021033D"/>
    <w:rsid w:val="002123DF"/>
    <w:rsid w:val="00214CE0"/>
    <w:rsid w:val="002161C5"/>
    <w:rsid w:val="00216CD2"/>
    <w:rsid w:val="00234EAF"/>
    <w:rsid w:val="00241C02"/>
    <w:rsid w:val="002549E6"/>
    <w:rsid w:val="00257A17"/>
    <w:rsid w:val="00261FCC"/>
    <w:rsid w:val="00261FE3"/>
    <w:rsid w:val="0027281E"/>
    <w:rsid w:val="00276249"/>
    <w:rsid w:val="002809E2"/>
    <w:rsid w:val="00282CD0"/>
    <w:rsid w:val="00283879"/>
    <w:rsid w:val="002931CB"/>
    <w:rsid w:val="00295C84"/>
    <w:rsid w:val="0029787F"/>
    <w:rsid w:val="002A0C7D"/>
    <w:rsid w:val="002A4F57"/>
    <w:rsid w:val="002B1BBD"/>
    <w:rsid w:val="002B46E3"/>
    <w:rsid w:val="002B4928"/>
    <w:rsid w:val="002B5393"/>
    <w:rsid w:val="002B5A77"/>
    <w:rsid w:val="002C55D8"/>
    <w:rsid w:val="002D430D"/>
    <w:rsid w:val="002D5AAF"/>
    <w:rsid w:val="002E560D"/>
    <w:rsid w:val="002E6DE9"/>
    <w:rsid w:val="00306A7C"/>
    <w:rsid w:val="0031313F"/>
    <w:rsid w:val="00315CCD"/>
    <w:rsid w:val="00316B0F"/>
    <w:rsid w:val="003327F1"/>
    <w:rsid w:val="00332D3A"/>
    <w:rsid w:val="003372E6"/>
    <w:rsid w:val="0034256B"/>
    <w:rsid w:val="00343670"/>
    <w:rsid w:val="00344E95"/>
    <w:rsid w:val="00347EC1"/>
    <w:rsid w:val="00353E9E"/>
    <w:rsid w:val="003545EB"/>
    <w:rsid w:val="003607AE"/>
    <w:rsid w:val="0036378C"/>
    <w:rsid w:val="0037008C"/>
    <w:rsid w:val="00371894"/>
    <w:rsid w:val="00371B3D"/>
    <w:rsid w:val="00373FE8"/>
    <w:rsid w:val="00391F17"/>
    <w:rsid w:val="00392682"/>
    <w:rsid w:val="00392ACB"/>
    <w:rsid w:val="00395131"/>
    <w:rsid w:val="00395C89"/>
    <w:rsid w:val="003A415B"/>
    <w:rsid w:val="003A56C1"/>
    <w:rsid w:val="003B1F85"/>
    <w:rsid w:val="003B326E"/>
    <w:rsid w:val="003B3402"/>
    <w:rsid w:val="003B3822"/>
    <w:rsid w:val="003B54EA"/>
    <w:rsid w:val="003C010B"/>
    <w:rsid w:val="003C5F2B"/>
    <w:rsid w:val="003E0A68"/>
    <w:rsid w:val="003E0A6A"/>
    <w:rsid w:val="003E401C"/>
    <w:rsid w:val="003F6CA4"/>
    <w:rsid w:val="00403916"/>
    <w:rsid w:val="0040584A"/>
    <w:rsid w:val="00406AB3"/>
    <w:rsid w:val="00407C18"/>
    <w:rsid w:val="0041078A"/>
    <w:rsid w:val="00415939"/>
    <w:rsid w:val="00422173"/>
    <w:rsid w:val="0042436E"/>
    <w:rsid w:val="00433ABE"/>
    <w:rsid w:val="00434B22"/>
    <w:rsid w:val="00440551"/>
    <w:rsid w:val="004429C3"/>
    <w:rsid w:val="00443F5F"/>
    <w:rsid w:val="00445DAF"/>
    <w:rsid w:val="0044606D"/>
    <w:rsid w:val="004548F3"/>
    <w:rsid w:val="00455BAF"/>
    <w:rsid w:val="00455FF2"/>
    <w:rsid w:val="004616FC"/>
    <w:rsid w:val="00462AF0"/>
    <w:rsid w:val="00463F0D"/>
    <w:rsid w:val="00465624"/>
    <w:rsid w:val="00484866"/>
    <w:rsid w:val="0048683D"/>
    <w:rsid w:val="00487C2A"/>
    <w:rsid w:val="00490C30"/>
    <w:rsid w:val="00491741"/>
    <w:rsid w:val="00494783"/>
    <w:rsid w:val="004970A5"/>
    <w:rsid w:val="004979DB"/>
    <w:rsid w:val="004A08B4"/>
    <w:rsid w:val="004A27EA"/>
    <w:rsid w:val="004A6679"/>
    <w:rsid w:val="004A7849"/>
    <w:rsid w:val="004B4AC1"/>
    <w:rsid w:val="004C0CD0"/>
    <w:rsid w:val="004C106C"/>
    <w:rsid w:val="004D2495"/>
    <w:rsid w:val="004D2EA9"/>
    <w:rsid w:val="004D4C70"/>
    <w:rsid w:val="004E00D9"/>
    <w:rsid w:val="004E2BA3"/>
    <w:rsid w:val="004E33DD"/>
    <w:rsid w:val="004E53C5"/>
    <w:rsid w:val="004F0411"/>
    <w:rsid w:val="004F342E"/>
    <w:rsid w:val="004F68F2"/>
    <w:rsid w:val="00504892"/>
    <w:rsid w:val="0051169D"/>
    <w:rsid w:val="00516F5C"/>
    <w:rsid w:val="00531BEA"/>
    <w:rsid w:val="00532D9B"/>
    <w:rsid w:val="005347AF"/>
    <w:rsid w:val="00537DAD"/>
    <w:rsid w:val="005462AC"/>
    <w:rsid w:val="00554B2B"/>
    <w:rsid w:val="005566E3"/>
    <w:rsid w:val="005601B6"/>
    <w:rsid w:val="0056314E"/>
    <w:rsid w:val="005644CE"/>
    <w:rsid w:val="0056628D"/>
    <w:rsid w:val="00572D88"/>
    <w:rsid w:val="00576088"/>
    <w:rsid w:val="005845A4"/>
    <w:rsid w:val="005900C1"/>
    <w:rsid w:val="00592026"/>
    <w:rsid w:val="0059208A"/>
    <w:rsid w:val="005950C6"/>
    <w:rsid w:val="005971D7"/>
    <w:rsid w:val="005A6D9D"/>
    <w:rsid w:val="005A7B0B"/>
    <w:rsid w:val="005B18E3"/>
    <w:rsid w:val="005B5506"/>
    <w:rsid w:val="005B6FAD"/>
    <w:rsid w:val="005C01EB"/>
    <w:rsid w:val="005C6A3E"/>
    <w:rsid w:val="005E281D"/>
    <w:rsid w:val="005E56A9"/>
    <w:rsid w:val="005F0DC5"/>
    <w:rsid w:val="005F6772"/>
    <w:rsid w:val="0060241C"/>
    <w:rsid w:val="006026A1"/>
    <w:rsid w:val="00602979"/>
    <w:rsid w:val="0060380B"/>
    <w:rsid w:val="006107F8"/>
    <w:rsid w:val="00611779"/>
    <w:rsid w:val="00611B5C"/>
    <w:rsid w:val="0062075E"/>
    <w:rsid w:val="0062216C"/>
    <w:rsid w:val="0062295B"/>
    <w:rsid w:val="00623AC3"/>
    <w:rsid w:val="00623C7A"/>
    <w:rsid w:val="00624356"/>
    <w:rsid w:val="00626035"/>
    <w:rsid w:val="0062674E"/>
    <w:rsid w:val="00627D42"/>
    <w:rsid w:val="0063230E"/>
    <w:rsid w:val="006326F5"/>
    <w:rsid w:val="00646B6D"/>
    <w:rsid w:val="006471DD"/>
    <w:rsid w:val="006536AF"/>
    <w:rsid w:val="0066126F"/>
    <w:rsid w:val="00677BDB"/>
    <w:rsid w:val="00682957"/>
    <w:rsid w:val="00692B5E"/>
    <w:rsid w:val="006A412D"/>
    <w:rsid w:val="006B1CD7"/>
    <w:rsid w:val="006B2F18"/>
    <w:rsid w:val="006B5046"/>
    <w:rsid w:val="006B55E9"/>
    <w:rsid w:val="006B6B49"/>
    <w:rsid w:val="006C0F70"/>
    <w:rsid w:val="006C156A"/>
    <w:rsid w:val="006C3C28"/>
    <w:rsid w:val="006D15E0"/>
    <w:rsid w:val="006D3537"/>
    <w:rsid w:val="006E4C47"/>
    <w:rsid w:val="006E611B"/>
    <w:rsid w:val="006F482D"/>
    <w:rsid w:val="006F5F2A"/>
    <w:rsid w:val="006F618D"/>
    <w:rsid w:val="006F6AA9"/>
    <w:rsid w:val="0070537D"/>
    <w:rsid w:val="00710F36"/>
    <w:rsid w:val="0071211E"/>
    <w:rsid w:val="00722301"/>
    <w:rsid w:val="00724664"/>
    <w:rsid w:val="00725E72"/>
    <w:rsid w:val="00733897"/>
    <w:rsid w:val="00734473"/>
    <w:rsid w:val="00752134"/>
    <w:rsid w:val="00753BF0"/>
    <w:rsid w:val="007600EE"/>
    <w:rsid w:val="0076636B"/>
    <w:rsid w:val="007804E9"/>
    <w:rsid w:val="00783784"/>
    <w:rsid w:val="00792353"/>
    <w:rsid w:val="00795F71"/>
    <w:rsid w:val="00797AED"/>
    <w:rsid w:val="007A20BE"/>
    <w:rsid w:val="007A3B61"/>
    <w:rsid w:val="007A4273"/>
    <w:rsid w:val="007A79DA"/>
    <w:rsid w:val="007B5747"/>
    <w:rsid w:val="007B5D6D"/>
    <w:rsid w:val="007B63DA"/>
    <w:rsid w:val="007C1BD5"/>
    <w:rsid w:val="007C2528"/>
    <w:rsid w:val="007C32C8"/>
    <w:rsid w:val="007C4AF1"/>
    <w:rsid w:val="007D6D63"/>
    <w:rsid w:val="007E6B43"/>
    <w:rsid w:val="007E6D97"/>
    <w:rsid w:val="007F2642"/>
    <w:rsid w:val="007F66C1"/>
    <w:rsid w:val="00800CD8"/>
    <w:rsid w:val="00803CA8"/>
    <w:rsid w:val="00805392"/>
    <w:rsid w:val="00806B34"/>
    <w:rsid w:val="00810722"/>
    <w:rsid w:val="00820AC3"/>
    <w:rsid w:val="00820CBE"/>
    <w:rsid w:val="00820D1C"/>
    <w:rsid w:val="00826269"/>
    <w:rsid w:val="00831B45"/>
    <w:rsid w:val="008408EE"/>
    <w:rsid w:val="00840951"/>
    <w:rsid w:val="00842C69"/>
    <w:rsid w:val="00853CE0"/>
    <w:rsid w:val="0085797E"/>
    <w:rsid w:val="00860C05"/>
    <w:rsid w:val="00864B29"/>
    <w:rsid w:val="008670BD"/>
    <w:rsid w:val="00876B2D"/>
    <w:rsid w:val="00877AD9"/>
    <w:rsid w:val="00881FD9"/>
    <w:rsid w:val="00893021"/>
    <w:rsid w:val="008A3D39"/>
    <w:rsid w:val="008A753B"/>
    <w:rsid w:val="008A75E7"/>
    <w:rsid w:val="008B11FC"/>
    <w:rsid w:val="008B12DE"/>
    <w:rsid w:val="008B3E3D"/>
    <w:rsid w:val="008D0F20"/>
    <w:rsid w:val="008D3EC3"/>
    <w:rsid w:val="008D645C"/>
    <w:rsid w:val="008E34A8"/>
    <w:rsid w:val="008F18B1"/>
    <w:rsid w:val="008F2E0C"/>
    <w:rsid w:val="008F6B4E"/>
    <w:rsid w:val="00901BE8"/>
    <w:rsid w:val="00903567"/>
    <w:rsid w:val="00903E7C"/>
    <w:rsid w:val="009040FA"/>
    <w:rsid w:val="00904315"/>
    <w:rsid w:val="00913B7D"/>
    <w:rsid w:val="0092394D"/>
    <w:rsid w:val="00926626"/>
    <w:rsid w:val="00932A4E"/>
    <w:rsid w:val="00940F40"/>
    <w:rsid w:val="00943440"/>
    <w:rsid w:val="00952294"/>
    <w:rsid w:val="00952491"/>
    <w:rsid w:val="00961EB6"/>
    <w:rsid w:val="0096208F"/>
    <w:rsid w:val="009765FA"/>
    <w:rsid w:val="009810F4"/>
    <w:rsid w:val="0098736B"/>
    <w:rsid w:val="00990903"/>
    <w:rsid w:val="00991725"/>
    <w:rsid w:val="0099236B"/>
    <w:rsid w:val="00992462"/>
    <w:rsid w:val="009928D8"/>
    <w:rsid w:val="00993B93"/>
    <w:rsid w:val="00997E56"/>
    <w:rsid w:val="009A018B"/>
    <w:rsid w:val="009A3A41"/>
    <w:rsid w:val="009A6CD4"/>
    <w:rsid w:val="009B3443"/>
    <w:rsid w:val="009B3F9C"/>
    <w:rsid w:val="009B4D5B"/>
    <w:rsid w:val="009B7295"/>
    <w:rsid w:val="009C5532"/>
    <w:rsid w:val="009D255E"/>
    <w:rsid w:val="009D43F4"/>
    <w:rsid w:val="009D5065"/>
    <w:rsid w:val="009E30DD"/>
    <w:rsid w:val="009F0861"/>
    <w:rsid w:val="009F2503"/>
    <w:rsid w:val="00A01578"/>
    <w:rsid w:val="00A057DB"/>
    <w:rsid w:val="00A13661"/>
    <w:rsid w:val="00A14DA0"/>
    <w:rsid w:val="00A21731"/>
    <w:rsid w:val="00A26A10"/>
    <w:rsid w:val="00A364D8"/>
    <w:rsid w:val="00A400F0"/>
    <w:rsid w:val="00A51372"/>
    <w:rsid w:val="00A5178A"/>
    <w:rsid w:val="00A53483"/>
    <w:rsid w:val="00A60C4C"/>
    <w:rsid w:val="00A6331C"/>
    <w:rsid w:val="00A71EDF"/>
    <w:rsid w:val="00A74B87"/>
    <w:rsid w:val="00A753C3"/>
    <w:rsid w:val="00A84615"/>
    <w:rsid w:val="00A85DEC"/>
    <w:rsid w:val="00A862E9"/>
    <w:rsid w:val="00A90C13"/>
    <w:rsid w:val="00A927FF"/>
    <w:rsid w:val="00A93902"/>
    <w:rsid w:val="00AA5CCD"/>
    <w:rsid w:val="00AA66D6"/>
    <w:rsid w:val="00AA6DE3"/>
    <w:rsid w:val="00AB63DA"/>
    <w:rsid w:val="00AD5546"/>
    <w:rsid w:val="00AE2061"/>
    <w:rsid w:val="00AF3CB4"/>
    <w:rsid w:val="00AF5C80"/>
    <w:rsid w:val="00B025C5"/>
    <w:rsid w:val="00B06C4D"/>
    <w:rsid w:val="00B074DE"/>
    <w:rsid w:val="00B10438"/>
    <w:rsid w:val="00B15A25"/>
    <w:rsid w:val="00B2311F"/>
    <w:rsid w:val="00B267C2"/>
    <w:rsid w:val="00B35350"/>
    <w:rsid w:val="00B416AE"/>
    <w:rsid w:val="00B43618"/>
    <w:rsid w:val="00B449AA"/>
    <w:rsid w:val="00B466B1"/>
    <w:rsid w:val="00B47268"/>
    <w:rsid w:val="00B47C9B"/>
    <w:rsid w:val="00B51DAB"/>
    <w:rsid w:val="00B55226"/>
    <w:rsid w:val="00B60380"/>
    <w:rsid w:val="00B62930"/>
    <w:rsid w:val="00B629CE"/>
    <w:rsid w:val="00B649B6"/>
    <w:rsid w:val="00B7284B"/>
    <w:rsid w:val="00B84B12"/>
    <w:rsid w:val="00B90E01"/>
    <w:rsid w:val="00B91E7E"/>
    <w:rsid w:val="00B933DF"/>
    <w:rsid w:val="00BB1920"/>
    <w:rsid w:val="00BB2849"/>
    <w:rsid w:val="00BB4784"/>
    <w:rsid w:val="00BC333D"/>
    <w:rsid w:val="00BD2604"/>
    <w:rsid w:val="00BD4FB5"/>
    <w:rsid w:val="00BE26FD"/>
    <w:rsid w:val="00BF341E"/>
    <w:rsid w:val="00BF3AB9"/>
    <w:rsid w:val="00BF6B68"/>
    <w:rsid w:val="00BF7F73"/>
    <w:rsid w:val="00C05B76"/>
    <w:rsid w:val="00C0616B"/>
    <w:rsid w:val="00C17300"/>
    <w:rsid w:val="00C214B7"/>
    <w:rsid w:val="00C21C18"/>
    <w:rsid w:val="00C21F79"/>
    <w:rsid w:val="00C30EF3"/>
    <w:rsid w:val="00C32565"/>
    <w:rsid w:val="00C3373F"/>
    <w:rsid w:val="00C40219"/>
    <w:rsid w:val="00C4231C"/>
    <w:rsid w:val="00C45255"/>
    <w:rsid w:val="00C525F8"/>
    <w:rsid w:val="00C54F13"/>
    <w:rsid w:val="00C54F81"/>
    <w:rsid w:val="00C55E22"/>
    <w:rsid w:val="00C65520"/>
    <w:rsid w:val="00C66E1B"/>
    <w:rsid w:val="00C71E7B"/>
    <w:rsid w:val="00C71EB6"/>
    <w:rsid w:val="00C7530F"/>
    <w:rsid w:val="00C763E0"/>
    <w:rsid w:val="00C816E4"/>
    <w:rsid w:val="00C82466"/>
    <w:rsid w:val="00C86D8C"/>
    <w:rsid w:val="00C9371B"/>
    <w:rsid w:val="00C96C94"/>
    <w:rsid w:val="00CA3BD5"/>
    <w:rsid w:val="00CA42FC"/>
    <w:rsid w:val="00CA7401"/>
    <w:rsid w:val="00CB35C2"/>
    <w:rsid w:val="00CB5665"/>
    <w:rsid w:val="00CC16EB"/>
    <w:rsid w:val="00CC2073"/>
    <w:rsid w:val="00CC26CA"/>
    <w:rsid w:val="00CC2E7F"/>
    <w:rsid w:val="00CD123E"/>
    <w:rsid w:val="00CD3020"/>
    <w:rsid w:val="00CD5E61"/>
    <w:rsid w:val="00CE416E"/>
    <w:rsid w:val="00CE4358"/>
    <w:rsid w:val="00CE6089"/>
    <w:rsid w:val="00CF1E51"/>
    <w:rsid w:val="00CF367D"/>
    <w:rsid w:val="00CF5DEE"/>
    <w:rsid w:val="00D01AE6"/>
    <w:rsid w:val="00D04FD7"/>
    <w:rsid w:val="00D076A6"/>
    <w:rsid w:val="00D1185E"/>
    <w:rsid w:val="00D2303B"/>
    <w:rsid w:val="00D40EE9"/>
    <w:rsid w:val="00D44E55"/>
    <w:rsid w:val="00D52F01"/>
    <w:rsid w:val="00D566F2"/>
    <w:rsid w:val="00D57DDA"/>
    <w:rsid w:val="00D60849"/>
    <w:rsid w:val="00D6506F"/>
    <w:rsid w:val="00D67F70"/>
    <w:rsid w:val="00D825AD"/>
    <w:rsid w:val="00D84879"/>
    <w:rsid w:val="00D90636"/>
    <w:rsid w:val="00D92435"/>
    <w:rsid w:val="00D97322"/>
    <w:rsid w:val="00DA081D"/>
    <w:rsid w:val="00DA2EE9"/>
    <w:rsid w:val="00DB4D60"/>
    <w:rsid w:val="00DC094F"/>
    <w:rsid w:val="00DC281C"/>
    <w:rsid w:val="00DC7A14"/>
    <w:rsid w:val="00DD0E89"/>
    <w:rsid w:val="00DD4156"/>
    <w:rsid w:val="00DE3C08"/>
    <w:rsid w:val="00DF13B7"/>
    <w:rsid w:val="00DF2730"/>
    <w:rsid w:val="00DF2D89"/>
    <w:rsid w:val="00DF6AFA"/>
    <w:rsid w:val="00E01F77"/>
    <w:rsid w:val="00E0367A"/>
    <w:rsid w:val="00E06958"/>
    <w:rsid w:val="00E07809"/>
    <w:rsid w:val="00E156AE"/>
    <w:rsid w:val="00E177BE"/>
    <w:rsid w:val="00E17827"/>
    <w:rsid w:val="00E201A6"/>
    <w:rsid w:val="00E25656"/>
    <w:rsid w:val="00E27DCC"/>
    <w:rsid w:val="00E3531E"/>
    <w:rsid w:val="00E356AC"/>
    <w:rsid w:val="00E36CFC"/>
    <w:rsid w:val="00E404EE"/>
    <w:rsid w:val="00E405B4"/>
    <w:rsid w:val="00E41248"/>
    <w:rsid w:val="00E43B28"/>
    <w:rsid w:val="00E45A0B"/>
    <w:rsid w:val="00E54F8C"/>
    <w:rsid w:val="00E61228"/>
    <w:rsid w:val="00E641F5"/>
    <w:rsid w:val="00E670DE"/>
    <w:rsid w:val="00E67945"/>
    <w:rsid w:val="00E74748"/>
    <w:rsid w:val="00E758A7"/>
    <w:rsid w:val="00E760A6"/>
    <w:rsid w:val="00E85514"/>
    <w:rsid w:val="00E93602"/>
    <w:rsid w:val="00E94B92"/>
    <w:rsid w:val="00E95132"/>
    <w:rsid w:val="00E969F7"/>
    <w:rsid w:val="00EA6F7E"/>
    <w:rsid w:val="00EB34DF"/>
    <w:rsid w:val="00EB50F7"/>
    <w:rsid w:val="00EB57D7"/>
    <w:rsid w:val="00EC557E"/>
    <w:rsid w:val="00ED3660"/>
    <w:rsid w:val="00ED7B01"/>
    <w:rsid w:val="00EE1730"/>
    <w:rsid w:val="00EE6ACB"/>
    <w:rsid w:val="00EE70CB"/>
    <w:rsid w:val="00EE75BB"/>
    <w:rsid w:val="00EF56C5"/>
    <w:rsid w:val="00F0479F"/>
    <w:rsid w:val="00F10EE8"/>
    <w:rsid w:val="00F1325F"/>
    <w:rsid w:val="00F15E29"/>
    <w:rsid w:val="00F164DD"/>
    <w:rsid w:val="00F2054D"/>
    <w:rsid w:val="00F22A0B"/>
    <w:rsid w:val="00F25100"/>
    <w:rsid w:val="00F2576B"/>
    <w:rsid w:val="00F30CAB"/>
    <w:rsid w:val="00F37EE9"/>
    <w:rsid w:val="00F46CD8"/>
    <w:rsid w:val="00F50B19"/>
    <w:rsid w:val="00F5129B"/>
    <w:rsid w:val="00F5612E"/>
    <w:rsid w:val="00F57E01"/>
    <w:rsid w:val="00F61450"/>
    <w:rsid w:val="00F71564"/>
    <w:rsid w:val="00F774B9"/>
    <w:rsid w:val="00F94F5A"/>
    <w:rsid w:val="00F953B6"/>
    <w:rsid w:val="00FA236C"/>
    <w:rsid w:val="00FA2AEE"/>
    <w:rsid w:val="00FA6439"/>
    <w:rsid w:val="00FA791D"/>
    <w:rsid w:val="00FB060B"/>
    <w:rsid w:val="00FB365B"/>
    <w:rsid w:val="00FB57BB"/>
    <w:rsid w:val="00FC4020"/>
    <w:rsid w:val="00FC69B5"/>
    <w:rsid w:val="00FC77CE"/>
    <w:rsid w:val="00FD4D2E"/>
    <w:rsid w:val="00FD4F0A"/>
    <w:rsid w:val="00FD6D2F"/>
    <w:rsid w:val="00FD6F7D"/>
    <w:rsid w:val="00FE4FDA"/>
    <w:rsid w:val="00FF1ECD"/>
    <w:rsid w:val="00FF4B36"/>
    <w:rsid w:val="00FF68E1"/>
    <w:rsid w:val="00FF749A"/>
    <w:rsid w:val="0198854A"/>
    <w:rsid w:val="0CA44BF8"/>
    <w:rsid w:val="0D269C3B"/>
    <w:rsid w:val="0EDF3D87"/>
    <w:rsid w:val="1206A2B0"/>
    <w:rsid w:val="1A972728"/>
    <w:rsid w:val="1C2E0C49"/>
    <w:rsid w:val="1D222A80"/>
    <w:rsid w:val="1F9AE7E7"/>
    <w:rsid w:val="204714C9"/>
    <w:rsid w:val="22174F75"/>
    <w:rsid w:val="2404B954"/>
    <w:rsid w:val="2C2C9CAE"/>
    <w:rsid w:val="2E51F8F3"/>
    <w:rsid w:val="2ED2CABF"/>
    <w:rsid w:val="3A98BE57"/>
    <w:rsid w:val="3BCA4973"/>
    <w:rsid w:val="421EA4A6"/>
    <w:rsid w:val="46F27FA0"/>
    <w:rsid w:val="49D28C16"/>
    <w:rsid w:val="4EC53C32"/>
    <w:rsid w:val="5B14ADE0"/>
    <w:rsid w:val="5B8165EC"/>
    <w:rsid w:val="5C27B248"/>
    <w:rsid w:val="63315568"/>
    <w:rsid w:val="63398860"/>
    <w:rsid w:val="65DC8032"/>
    <w:rsid w:val="670BE971"/>
    <w:rsid w:val="6A2C1D58"/>
    <w:rsid w:val="6A5BBB7A"/>
    <w:rsid w:val="72EE1ECD"/>
    <w:rsid w:val="78AFCE48"/>
    <w:rsid w:val="7F874C3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D5D27"/>
  <w15:docId w15:val="{07190DAE-95CE-4DA4-AF98-1AB38DF8A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567"/>
  </w:style>
  <w:style w:type="paragraph" w:styleId="Heading1">
    <w:name w:val="heading 1"/>
    <w:basedOn w:val="Normal"/>
    <w:next w:val="Normal"/>
    <w:link w:val="Heading1Char"/>
    <w:uiPriority w:val="9"/>
    <w:qFormat/>
    <w:rsid w:val="000C3EDD"/>
    <w:pPr>
      <w:keepNext/>
      <w:keepLines/>
      <w:spacing w:before="60" w:after="60"/>
      <w:outlineLvl w:val="0"/>
    </w:pPr>
    <w:rPr>
      <w:rFonts w:ascii="Calibri" w:eastAsiaTheme="majorEastAsia" w:hAnsi="Calibri" w:cstheme="majorBidi"/>
      <w:b/>
      <w:color w:val="000000" w:themeColor="text1"/>
      <w:sz w:val="24"/>
      <w:szCs w:val="32"/>
    </w:rPr>
  </w:style>
  <w:style w:type="paragraph" w:styleId="Heading2">
    <w:name w:val="heading 2"/>
    <w:basedOn w:val="Normal"/>
    <w:next w:val="Normal"/>
    <w:link w:val="Heading2Char"/>
    <w:uiPriority w:val="9"/>
    <w:unhideWhenUsed/>
    <w:qFormat/>
    <w:rsid w:val="000C3EDD"/>
    <w:pPr>
      <w:keepNext/>
      <w:keepLines/>
      <w:spacing w:before="60" w:after="60"/>
      <w:outlineLvl w:val="1"/>
    </w:pPr>
    <w:rPr>
      <w:rFonts w:ascii="Calibri" w:eastAsiaTheme="majorEastAsia" w:hAnsi="Calibri" w:cstheme="majorBidi"/>
      <w:b/>
      <w:color w:val="000000" w:themeColor="text1"/>
      <w:sz w:val="24"/>
      <w:szCs w:val="26"/>
    </w:rPr>
  </w:style>
  <w:style w:type="paragraph" w:styleId="Heading3">
    <w:name w:val="heading 3"/>
    <w:basedOn w:val="Normal"/>
    <w:next w:val="Normal"/>
    <w:link w:val="Heading3Char"/>
    <w:uiPriority w:val="9"/>
    <w:unhideWhenUsed/>
    <w:qFormat/>
    <w:rsid w:val="000C3EDD"/>
    <w:pPr>
      <w:keepNext/>
      <w:keepLines/>
      <w:spacing w:before="40" w:after="0"/>
      <w:outlineLvl w:val="2"/>
    </w:pPr>
    <w:rPr>
      <w:rFonts w:ascii="Calibri" w:eastAsiaTheme="majorEastAsia" w:hAnsi="Calibri" w:cstheme="majorBidi"/>
      <w:color w:val="000000" w:themeColor="text1"/>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04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042C"/>
  </w:style>
  <w:style w:type="paragraph" w:styleId="Footer">
    <w:name w:val="footer"/>
    <w:basedOn w:val="Normal"/>
    <w:link w:val="FooterChar"/>
    <w:uiPriority w:val="99"/>
    <w:unhideWhenUsed/>
    <w:rsid w:val="000004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042C"/>
  </w:style>
  <w:style w:type="table" w:styleId="TableGrid">
    <w:name w:val="Table Grid"/>
    <w:basedOn w:val="TableNormal"/>
    <w:uiPriority w:val="39"/>
    <w:rsid w:val="00000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3230E"/>
    <w:rPr>
      <w:sz w:val="16"/>
      <w:szCs w:val="16"/>
    </w:rPr>
  </w:style>
  <w:style w:type="paragraph" w:styleId="CommentText">
    <w:name w:val="annotation text"/>
    <w:basedOn w:val="Normal"/>
    <w:link w:val="CommentTextChar"/>
    <w:uiPriority w:val="99"/>
    <w:unhideWhenUsed/>
    <w:rsid w:val="0063230E"/>
    <w:pPr>
      <w:spacing w:line="240" w:lineRule="auto"/>
    </w:pPr>
    <w:rPr>
      <w:sz w:val="20"/>
      <w:szCs w:val="20"/>
    </w:rPr>
  </w:style>
  <w:style w:type="character" w:customStyle="1" w:styleId="CommentTextChar">
    <w:name w:val="Comment Text Char"/>
    <w:basedOn w:val="DefaultParagraphFont"/>
    <w:link w:val="CommentText"/>
    <w:uiPriority w:val="99"/>
    <w:rsid w:val="0063230E"/>
    <w:rPr>
      <w:sz w:val="20"/>
      <w:szCs w:val="20"/>
    </w:rPr>
  </w:style>
  <w:style w:type="paragraph" w:styleId="CommentSubject">
    <w:name w:val="annotation subject"/>
    <w:basedOn w:val="CommentText"/>
    <w:next w:val="CommentText"/>
    <w:link w:val="CommentSubjectChar"/>
    <w:uiPriority w:val="99"/>
    <w:semiHidden/>
    <w:unhideWhenUsed/>
    <w:rsid w:val="0063230E"/>
    <w:rPr>
      <w:b/>
      <w:bCs/>
    </w:rPr>
  </w:style>
  <w:style w:type="character" w:customStyle="1" w:styleId="CommentSubjectChar">
    <w:name w:val="Comment Subject Char"/>
    <w:basedOn w:val="CommentTextChar"/>
    <w:link w:val="CommentSubject"/>
    <w:uiPriority w:val="99"/>
    <w:semiHidden/>
    <w:rsid w:val="0063230E"/>
    <w:rPr>
      <w:b/>
      <w:bCs/>
      <w:sz w:val="20"/>
      <w:szCs w:val="20"/>
    </w:rPr>
  </w:style>
  <w:style w:type="character" w:styleId="PlaceholderText">
    <w:name w:val="Placeholder Text"/>
    <w:basedOn w:val="DefaultParagraphFont"/>
    <w:uiPriority w:val="99"/>
    <w:semiHidden/>
    <w:rsid w:val="008A75E7"/>
    <w:rPr>
      <w:color w:val="808080"/>
    </w:rPr>
  </w:style>
  <w:style w:type="character" w:customStyle="1" w:styleId="Heading1Char">
    <w:name w:val="Heading 1 Char"/>
    <w:basedOn w:val="DefaultParagraphFont"/>
    <w:link w:val="Heading1"/>
    <w:uiPriority w:val="9"/>
    <w:rsid w:val="000C3EDD"/>
    <w:rPr>
      <w:rFonts w:ascii="Calibri" w:eastAsiaTheme="majorEastAsia" w:hAnsi="Calibri" w:cstheme="majorBidi"/>
      <w:b/>
      <w:color w:val="000000" w:themeColor="text1"/>
      <w:sz w:val="24"/>
      <w:szCs w:val="32"/>
    </w:rPr>
  </w:style>
  <w:style w:type="character" w:customStyle="1" w:styleId="Heading2Char">
    <w:name w:val="Heading 2 Char"/>
    <w:basedOn w:val="DefaultParagraphFont"/>
    <w:link w:val="Heading2"/>
    <w:uiPriority w:val="9"/>
    <w:rsid w:val="000C3EDD"/>
    <w:rPr>
      <w:rFonts w:ascii="Calibri" w:eastAsiaTheme="majorEastAsia" w:hAnsi="Calibri" w:cstheme="majorBidi"/>
      <w:b/>
      <w:color w:val="000000" w:themeColor="text1"/>
      <w:sz w:val="24"/>
      <w:szCs w:val="26"/>
    </w:rPr>
  </w:style>
  <w:style w:type="character" w:customStyle="1" w:styleId="Heading3Char">
    <w:name w:val="Heading 3 Char"/>
    <w:basedOn w:val="DefaultParagraphFont"/>
    <w:link w:val="Heading3"/>
    <w:uiPriority w:val="9"/>
    <w:rsid w:val="000C3EDD"/>
    <w:rPr>
      <w:rFonts w:ascii="Calibri" w:eastAsiaTheme="majorEastAsia" w:hAnsi="Calibri" w:cstheme="majorBidi"/>
      <w:color w:val="000000" w:themeColor="text1"/>
      <w:sz w:val="18"/>
      <w:szCs w:val="24"/>
    </w:rPr>
  </w:style>
  <w:style w:type="paragraph" w:styleId="ListParagraph">
    <w:name w:val="List Paragraph"/>
    <w:aliases w:val="body text1"/>
    <w:basedOn w:val="Normal"/>
    <w:link w:val="ListParagraphChar"/>
    <w:uiPriority w:val="34"/>
    <w:qFormat/>
    <w:rsid w:val="001E11AF"/>
    <w:pPr>
      <w:ind w:left="720"/>
      <w:contextualSpacing/>
    </w:pPr>
  </w:style>
  <w:style w:type="character" w:customStyle="1" w:styleId="ListParagraphChar">
    <w:name w:val="List Paragraph Char"/>
    <w:aliases w:val="body text1 Char"/>
    <w:basedOn w:val="DefaultParagraphFont"/>
    <w:link w:val="ListParagraph"/>
    <w:uiPriority w:val="34"/>
    <w:locked/>
    <w:rsid w:val="0002491F"/>
  </w:style>
  <w:style w:type="paragraph" w:customStyle="1" w:styleId="TableParagraph">
    <w:name w:val="Table Paragraph"/>
    <w:basedOn w:val="Normal"/>
    <w:uiPriority w:val="1"/>
    <w:qFormat/>
    <w:rsid w:val="00403916"/>
    <w:pPr>
      <w:widowControl w:val="0"/>
      <w:autoSpaceDE w:val="0"/>
      <w:autoSpaceDN w:val="0"/>
      <w:spacing w:after="0" w:line="240" w:lineRule="auto"/>
    </w:pPr>
    <w:rPr>
      <w:rFonts w:ascii="Calibri" w:eastAsia="Calibri" w:hAnsi="Calibri" w:cs="Calibri"/>
      <w:lang w:val="en-US"/>
    </w:rPr>
  </w:style>
  <w:style w:type="character" w:styleId="Hyperlink">
    <w:name w:val="Hyperlink"/>
    <w:basedOn w:val="DefaultParagraphFont"/>
    <w:uiPriority w:val="99"/>
    <w:unhideWhenUsed/>
    <w:rsid w:val="00016934"/>
    <w:rPr>
      <w:color w:val="0563C1" w:themeColor="hyperlink"/>
      <w:u w:val="single"/>
    </w:rPr>
  </w:style>
  <w:style w:type="character" w:customStyle="1" w:styleId="normaltextrun">
    <w:name w:val="normaltextrun"/>
    <w:basedOn w:val="DefaultParagraphFont"/>
    <w:rsid w:val="00B47C9B"/>
  </w:style>
  <w:style w:type="character" w:customStyle="1" w:styleId="ui-provider">
    <w:name w:val="ui-provider"/>
    <w:basedOn w:val="DefaultParagraphFont"/>
    <w:rsid w:val="00C82466"/>
  </w:style>
  <w:style w:type="paragraph" w:styleId="Revision">
    <w:name w:val="Revision"/>
    <w:hidden/>
    <w:uiPriority w:val="99"/>
    <w:semiHidden/>
    <w:rsid w:val="009B4D5B"/>
    <w:pPr>
      <w:spacing w:after="0" w:line="240" w:lineRule="auto"/>
    </w:pPr>
  </w:style>
  <w:style w:type="paragraph" w:customStyle="1" w:styleId="pf0">
    <w:name w:val="pf0"/>
    <w:basedOn w:val="Normal"/>
    <w:rsid w:val="00D52F0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D52F0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646049">
      <w:bodyDiv w:val="1"/>
      <w:marLeft w:val="0"/>
      <w:marRight w:val="0"/>
      <w:marTop w:val="0"/>
      <w:marBottom w:val="0"/>
      <w:divBdr>
        <w:top w:val="none" w:sz="0" w:space="0" w:color="auto"/>
        <w:left w:val="none" w:sz="0" w:space="0" w:color="auto"/>
        <w:bottom w:val="none" w:sz="0" w:space="0" w:color="auto"/>
        <w:right w:val="none" w:sz="0" w:space="0" w:color="auto"/>
      </w:divBdr>
    </w:div>
    <w:div w:id="430201138">
      <w:bodyDiv w:val="1"/>
      <w:marLeft w:val="0"/>
      <w:marRight w:val="0"/>
      <w:marTop w:val="0"/>
      <w:marBottom w:val="0"/>
      <w:divBdr>
        <w:top w:val="none" w:sz="0" w:space="0" w:color="auto"/>
        <w:left w:val="none" w:sz="0" w:space="0" w:color="auto"/>
        <w:bottom w:val="none" w:sz="0" w:space="0" w:color="auto"/>
        <w:right w:val="none" w:sz="0" w:space="0" w:color="auto"/>
      </w:divBdr>
    </w:div>
    <w:div w:id="628245975">
      <w:bodyDiv w:val="1"/>
      <w:marLeft w:val="0"/>
      <w:marRight w:val="0"/>
      <w:marTop w:val="0"/>
      <w:marBottom w:val="0"/>
      <w:divBdr>
        <w:top w:val="none" w:sz="0" w:space="0" w:color="auto"/>
        <w:left w:val="none" w:sz="0" w:space="0" w:color="auto"/>
        <w:bottom w:val="none" w:sz="0" w:space="0" w:color="auto"/>
        <w:right w:val="none" w:sz="0" w:space="0" w:color="auto"/>
      </w:divBdr>
    </w:div>
    <w:div w:id="628975360">
      <w:bodyDiv w:val="1"/>
      <w:marLeft w:val="0"/>
      <w:marRight w:val="0"/>
      <w:marTop w:val="0"/>
      <w:marBottom w:val="0"/>
      <w:divBdr>
        <w:top w:val="none" w:sz="0" w:space="0" w:color="auto"/>
        <w:left w:val="none" w:sz="0" w:space="0" w:color="auto"/>
        <w:bottom w:val="none" w:sz="0" w:space="0" w:color="auto"/>
        <w:right w:val="none" w:sz="0" w:space="0" w:color="auto"/>
      </w:divBdr>
    </w:div>
    <w:div w:id="677662120">
      <w:bodyDiv w:val="1"/>
      <w:marLeft w:val="0"/>
      <w:marRight w:val="0"/>
      <w:marTop w:val="0"/>
      <w:marBottom w:val="0"/>
      <w:divBdr>
        <w:top w:val="none" w:sz="0" w:space="0" w:color="auto"/>
        <w:left w:val="none" w:sz="0" w:space="0" w:color="auto"/>
        <w:bottom w:val="none" w:sz="0" w:space="0" w:color="auto"/>
        <w:right w:val="none" w:sz="0" w:space="0" w:color="auto"/>
      </w:divBdr>
    </w:div>
    <w:div w:id="788277463">
      <w:bodyDiv w:val="1"/>
      <w:marLeft w:val="0"/>
      <w:marRight w:val="0"/>
      <w:marTop w:val="0"/>
      <w:marBottom w:val="0"/>
      <w:divBdr>
        <w:top w:val="none" w:sz="0" w:space="0" w:color="auto"/>
        <w:left w:val="none" w:sz="0" w:space="0" w:color="auto"/>
        <w:bottom w:val="none" w:sz="0" w:space="0" w:color="auto"/>
        <w:right w:val="none" w:sz="0" w:space="0" w:color="auto"/>
      </w:divBdr>
    </w:div>
    <w:div w:id="1173452496">
      <w:bodyDiv w:val="1"/>
      <w:marLeft w:val="0"/>
      <w:marRight w:val="0"/>
      <w:marTop w:val="0"/>
      <w:marBottom w:val="0"/>
      <w:divBdr>
        <w:top w:val="none" w:sz="0" w:space="0" w:color="auto"/>
        <w:left w:val="none" w:sz="0" w:space="0" w:color="auto"/>
        <w:bottom w:val="none" w:sz="0" w:space="0" w:color="auto"/>
        <w:right w:val="none" w:sz="0" w:space="0" w:color="auto"/>
      </w:divBdr>
    </w:div>
    <w:div w:id="1299384725">
      <w:bodyDiv w:val="1"/>
      <w:marLeft w:val="0"/>
      <w:marRight w:val="0"/>
      <w:marTop w:val="0"/>
      <w:marBottom w:val="0"/>
      <w:divBdr>
        <w:top w:val="none" w:sz="0" w:space="0" w:color="auto"/>
        <w:left w:val="none" w:sz="0" w:space="0" w:color="auto"/>
        <w:bottom w:val="none" w:sz="0" w:space="0" w:color="auto"/>
        <w:right w:val="none" w:sz="0" w:space="0" w:color="auto"/>
      </w:divBdr>
    </w:div>
    <w:div w:id="16956888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5</Pages>
  <Words>1565</Words>
  <Characters>8927</Characters>
  <Application>Microsoft Office Word</Application>
  <DocSecurity>8</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Stallard, Lorraine C</dc:creator>
  <cp:keywords/>
  <dc:description/>
  <cp:lastModifiedBy>Elwood, Jayne</cp:lastModifiedBy>
  <cp:revision>13</cp:revision>
  <cp:lastPrinted>2020-02-14T13:30:00Z</cp:lastPrinted>
  <dcterms:created xsi:type="dcterms:W3CDTF">2023-05-16T11:49:00Z</dcterms:created>
  <dcterms:modified xsi:type="dcterms:W3CDTF">2023-06-27T14:17:00Z</dcterms:modified>
  <cp:contentStatus/>
</cp:coreProperties>
</file>