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261"/>
        <w:gridCol w:w="1701"/>
      </w:tblGrid>
      <w:tr w:rsidR="008A753B" w:rsidRPr="008A753B" w14:paraId="2A4DDC6B" w14:textId="77777777" w:rsidTr="3A98BE57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0C8899B5" w:rsidR="0000042C" w:rsidRPr="008A753B" w:rsidRDefault="00A71EDF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942EF8">
              <w:rPr>
                <w:b/>
                <w:bCs/>
                <w:sz w:val="24"/>
                <w:szCs w:val="24"/>
              </w:rPr>
              <w:t>6 MARCH 2024</w:t>
            </w:r>
          </w:p>
        </w:tc>
      </w:tr>
      <w:tr w:rsidR="008A753B" w:rsidRPr="008A753B" w14:paraId="648655F8" w14:textId="77777777" w:rsidTr="3A98BE5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0000665F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864B29" w:rsidRPr="008A753B" w14:paraId="55D3FC8D" w14:textId="77777777" w:rsidTr="3A98BE57">
        <w:tc>
          <w:tcPr>
            <w:tcW w:w="5245" w:type="dxa"/>
            <w:tcBorders>
              <w:top w:val="single" w:sz="4" w:space="0" w:color="auto"/>
            </w:tcBorders>
          </w:tcPr>
          <w:p w14:paraId="3D959F2F" w14:textId="54B912E0" w:rsidR="00864B29" w:rsidRPr="008A753B" w:rsidRDefault="00A93902" w:rsidP="00942EF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Cowling </w:t>
            </w:r>
            <w:r w:rsidR="00864B29">
              <w:rPr>
                <w:sz w:val="24"/>
                <w:szCs w:val="24"/>
              </w:rPr>
              <w:t>(Chair)</w:t>
            </w:r>
            <w:r w:rsidR="00103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30089F4C" w14:textId="4AC49FF6" w:rsidR="00864B29" w:rsidRPr="008A753B" w:rsidRDefault="000D02D5" w:rsidP="00942EF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</w:t>
            </w:r>
            <w:r w:rsidR="001C0F4A">
              <w:rPr>
                <w:sz w:val="24"/>
                <w:szCs w:val="24"/>
              </w:rPr>
              <w:t>Liz Mossop</w:t>
            </w:r>
          </w:p>
        </w:tc>
      </w:tr>
      <w:tr w:rsidR="00103702" w:rsidRPr="008A753B" w14:paraId="390C3619" w14:textId="77777777" w:rsidTr="000D02D5">
        <w:trPr>
          <w:trHeight w:val="63"/>
        </w:trPr>
        <w:tc>
          <w:tcPr>
            <w:tcW w:w="5245" w:type="dxa"/>
          </w:tcPr>
          <w:p w14:paraId="2E0B4B40" w14:textId="4AFC5F12" w:rsidR="00103702" w:rsidRPr="000D02D5" w:rsidRDefault="000D02D5" w:rsidP="00942EF8">
            <w:pPr>
              <w:spacing w:before="60" w:after="60"/>
              <w:rPr>
                <w:sz w:val="24"/>
                <w:szCs w:val="24"/>
              </w:rPr>
            </w:pPr>
            <w:r w:rsidRPr="00D7567D">
              <w:rPr>
                <w:bCs/>
                <w:sz w:val="24"/>
                <w:szCs w:val="24"/>
              </w:rPr>
              <w:t>Carol Bernard</w:t>
            </w:r>
            <w:r w:rsidR="00D7567D" w:rsidRPr="00D7567D">
              <w:rPr>
                <w:bCs/>
                <w:sz w:val="24"/>
                <w:szCs w:val="24"/>
              </w:rPr>
              <w:t xml:space="preserve"> (from item 4)</w:t>
            </w:r>
          </w:p>
        </w:tc>
        <w:tc>
          <w:tcPr>
            <w:tcW w:w="4962" w:type="dxa"/>
            <w:gridSpan w:val="2"/>
          </w:tcPr>
          <w:p w14:paraId="0252AEE5" w14:textId="51FE4090" w:rsidR="00103702" w:rsidRPr="000D02D5" w:rsidRDefault="000D02D5" w:rsidP="00942EF8">
            <w:pPr>
              <w:spacing w:before="60" w:after="60"/>
              <w:rPr>
                <w:sz w:val="24"/>
                <w:szCs w:val="24"/>
              </w:rPr>
            </w:pPr>
            <w:r w:rsidRPr="000D02D5">
              <w:rPr>
                <w:bCs/>
                <w:sz w:val="24"/>
                <w:szCs w:val="24"/>
              </w:rPr>
              <w:t>Giles Searby</w:t>
            </w:r>
          </w:p>
        </w:tc>
      </w:tr>
      <w:tr w:rsidR="00B90E01" w:rsidRPr="008A753B" w14:paraId="1B723133" w14:textId="77777777" w:rsidTr="3A98BE57">
        <w:tc>
          <w:tcPr>
            <w:tcW w:w="5245" w:type="dxa"/>
          </w:tcPr>
          <w:p w14:paraId="25434675" w14:textId="6D1BBCEE" w:rsidR="00B90E01" w:rsidRPr="00D7567D" w:rsidRDefault="00B90E01" w:rsidP="00942EF8">
            <w:pPr>
              <w:spacing w:before="60" w:after="60"/>
              <w:rPr>
                <w:sz w:val="24"/>
                <w:szCs w:val="24"/>
              </w:rPr>
            </w:pPr>
            <w:r w:rsidRPr="00D7567D">
              <w:rPr>
                <w:sz w:val="24"/>
                <w:szCs w:val="24"/>
              </w:rPr>
              <w:t>Gabrielle Berring</w:t>
            </w:r>
          </w:p>
        </w:tc>
        <w:tc>
          <w:tcPr>
            <w:tcW w:w="4962" w:type="dxa"/>
            <w:gridSpan w:val="2"/>
          </w:tcPr>
          <w:p w14:paraId="20F2BE10" w14:textId="7A8EE9F3" w:rsidR="00B90E01" w:rsidRPr="00D7567D" w:rsidRDefault="00942EF8" w:rsidP="00942EF8">
            <w:pPr>
              <w:spacing w:before="60" w:after="60"/>
              <w:rPr>
                <w:sz w:val="24"/>
                <w:szCs w:val="24"/>
              </w:rPr>
            </w:pPr>
            <w:r w:rsidRPr="00D7567D">
              <w:rPr>
                <w:bCs/>
                <w:szCs w:val="24"/>
              </w:rPr>
              <w:t>Janet Onyia</w:t>
            </w:r>
          </w:p>
        </w:tc>
      </w:tr>
      <w:tr w:rsidR="00864B29" w:rsidRPr="008A753B" w14:paraId="70E71BC7" w14:textId="77777777" w:rsidTr="00C95A18"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864B29" w:rsidRPr="008A753B" w:rsidRDefault="00864B29" w:rsidP="00864B29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864B29" w:rsidRPr="008A753B" w:rsidRDefault="00864B29" w:rsidP="00864B29">
            <w:pPr>
              <w:pStyle w:val="Heading2"/>
            </w:pPr>
            <w:r w:rsidRPr="008A753B">
              <w:t>AGENDA ITEM</w:t>
            </w:r>
          </w:p>
        </w:tc>
      </w:tr>
      <w:tr w:rsidR="00864B29" w:rsidRPr="008A753B" w14:paraId="792E0B0F" w14:textId="77777777" w:rsidTr="3A98BE57">
        <w:trPr>
          <w:trHeight w:val="273"/>
        </w:trPr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14:paraId="1B475B60" w14:textId="49B67300" w:rsidR="00864B29" w:rsidRPr="008A753B" w:rsidRDefault="000D02D5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89311E" w14:textId="42ACA7F8" w:rsidR="00864B29" w:rsidRPr="008A753B" w:rsidRDefault="00A93902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C95A18" w:rsidRPr="008A753B" w14:paraId="7AEDBEB6" w14:textId="77777777" w:rsidTr="3A98BE57">
        <w:trPr>
          <w:trHeight w:val="148"/>
        </w:trPr>
        <w:tc>
          <w:tcPr>
            <w:tcW w:w="8506" w:type="dxa"/>
            <w:gridSpan w:val="2"/>
          </w:tcPr>
          <w:p w14:paraId="1D3F65F6" w14:textId="7DC4806E" w:rsidR="00C95A18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Calvert, Deputy Vice-Chancellor, Strategy and Operations (DVCSO)</w:t>
            </w:r>
          </w:p>
        </w:tc>
        <w:tc>
          <w:tcPr>
            <w:tcW w:w="1701" w:type="dxa"/>
          </w:tcPr>
          <w:p w14:paraId="24375CBF" w14:textId="4DA511AA" w:rsidR="00C95A18" w:rsidRDefault="00CC773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item 9</w:t>
            </w:r>
          </w:p>
        </w:tc>
      </w:tr>
      <w:tr w:rsidR="00C95A18" w:rsidRPr="008A753B" w14:paraId="58F7750F" w14:textId="77777777" w:rsidTr="3A98BE57">
        <w:tc>
          <w:tcPr>
            <w:tcW w:w="8506" w:type="dxa"/>
            <w:gridSpan w:val="2"/>
          </w:tcPr>
          <w:p w14:paraId="0C1788E7" w14:textId="4AA98FE3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Sally Jackson, Chief People Officer/Pro Vice-Chancellor (Diversity &amp; Inclusion) (CPO/PVCDI)</w:t>
            </w:r>
          </w:p>
        </w:tc>
        <w:tc>
          <w:tcPr>
            <w:tcW w:w="1701" w:type="dxa"/>
          </w:tcPr>
          <w:p w14:paraId="7DEBC527" w14:textId="12EA5245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C95A18" w:rsidRPr="008A753B" w14:paraId="33B0B93C" w14:textId="77777777" w:rsidTr="008963F1">
        <w:trPr>
          <w:trHeight w:val="60"/>
        </w:trPr>
        <w:tc>
          <w:tcPr>
            <w:tcW w:w="8506" w:type="dxa"/>
            <w:gridSpan w:val="2"/>
          </w:tcPr>
          <w:p w14:paraId="693EE68D" w14:textId="47C11556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Keyworth, Chief Finance Officer (CFO)</w:t>
            </w:r>
          </w:p>
        </w:tc>
        <w:tc>
          <w:tcPr>
            <w:tcW w:w="1701" w:type="dxa"/>
          </w:tcPr>
          <w:p w14:paraId="2D1FB007" w14:textId="6F08C562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942EF8" w:rsidRPr="008A753B" w14:paraId="432F22D4" w14:textId="77777777" w:rsidTr="3A98BE57">
        <w:tc>
          <w:tcPr>
            <w:tcW w:w="8506" w:type="dxa"/>
            <w:gridSpan w:val="2"/>
          </w:tcPr>
          <w:p w14:paraId="4972508D" w14:textId="0A34C8D7" w:rsidR="00942EF8" w:rsidRDefault="00942EF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Smith, Chair Designate</w:t>
            </w:r>
          </w:p>
        </w:tc>
        <w:tc>
          <w:tcPr>
            <w:tcW w:w="1701" w:type="dxa"/>
          </w:tcPr>
          <w:p w14:paraId="41891673" w14:textId="65E1B000" w:rsidR="00942EF8" w:rsidRDefault="00942EF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C95A18" w:rsidRPr="008A753B" w14:paraId="2ABABB21" w14:textId="77777777" w:rsidTr="3A98BE57">
        <w:tc>
          <w:tcPr>
            <w:tcW w:w="8506" w:type="dxa"/>
            <w:gridSpan w:val="2"/>
          </w:tcPr>
          <w:p w14:paraId="47EE1CA3" w14:textId="7B74B68A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Taylor, Committee Secretary</w:t>
            </w:r>
          </w:p>
        </w:tc>
        <w:tc>
          <w:tcPr>
            <w:tcW w:w="1701" w:type="dxa"/>
          </w:tcPr>
          <w:p w14:paraId="14CD802B" w14:textId="465CBB09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C95A18" w:rsidRPr="008A753B" w14:paraId="6EE17534" w14:textId="77777777" w:rsidTr="3A98BE57">
        <w:tc>
          <w:tcPr>
            <w:tcW w:w="8506" w:type="dxa"/>
            <w:gridSpan w:val="2"/>
          </w:tcPr>
          <w:p w14:paraId="3D5C4872" w14:textId="336CEB77" w:rsidR="00C95A18" w:rsidRPr="008A753B" w:rsidRDefault="00C95A18" w:rsidP="00C95A18">
            <w:pPr>
              <w:tabs>
                <w:tab w:val="left" w:pos="5890"/>
              </w:tabs>
              <w:spacing w:before="60" w:after="60"/>
              <w:rPr>
                <w:sz w:val="24"/>
                <w:szCs w:val="24"/>
              </w:rPr>
            </w:pPr>
            <w:r w:rsidRPr="3A98BE57">
              <w:rPr>
                <w:sz w:val="24"/>
                <w:szCs w:val="24"/>
              </w:rPr>
              <w:t xml:space="preserve">Libby Wilson, Group Director, </w:t>
            </w:r>
            <w:r w:rsidR="002A7694">
              <w:rPr>
                <w:sz w:val="24"/>
                <w:szCs w:val="24"/>
              </w:rPr>
              <w:t xml:space="preserve">Strategy, </w:t>
            </w:r>
            <w:r w:rsidRPr="3A98BE57">
              <w:rPr>
                <w:sz w:val="24"/>
                <w:szCs w:val="24"/>
              </w:rPr>
              <w:t>Infrastructure and Change (GD</w:t>
            </w:r>
            <w:r w:rsidR="002A7694">
              <w:rPr>
                <w:sz w:val="24"/>
                <w:szCs w:val="24"/>
              </w:rPr>
              <w:t>S</w:t>
            </w:r>
            <w:r w:rsidRPr="3A98BE57">
              <w:rPr>
                <w:sz w:val="24"/>
                <w:szCs w:val="24"/>
              </w:rPr>
              <w:t>I&amp;C)</w:t>
            </w:r>
          </w:p>
        </w:tc>
        <w:tc>
          <w:tcPr>
            <w:tcW w:w="1701" w:type="dxa"/>
          </w:tcPr>
          <w:p w14:paraId="18542378" w14:textId="7FF09264" w:rsidR="00C95A18" w:rsidRPr="008A753B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Items 6 </w:t>
            </w:r>
            <w:r w:rsidR="00CC7738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7</w:t>
            </w:r>
          </w:p>
        </w:tc>
      </w:tr>
      <w:tr w:rsidR="00C95A18" w:rsidRPr="008A753B" w14:paraId="1EE88C2D" w14:textId="77777777" w:rsidTr="3A98BE57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7A614FB9" w:rsidR="00C95A18" w:rsidRPr="008A753B" w:rsidRDefault="00C95A18" w:rsidP="00C95A18">
            <w:pPr>
              <w:pStyle w:val="Heading2"/>
            </w:pPr>
            <w:r w:rsidRPr="008A753B">
              <w:t xml:space="preserve">APOLOGIES: </w:t>
            </w:r>
            <w:r w:rsidR="00CE2236" w:rsidRPr="00CE2236">
              <w:rPr>
                <w:b w:val="0"/>
                <w:bCs/>
              </w:rPr>
              <w:t>There were no apologies</w:t>
            </w:r>
          </w:p>
        </w:tc>
      </w:tr>
    </w:tbl>
    <w:p w14:paraId="2B637C90" w14:textId="207E3F35" w:rsidR="0000042C" w:rsidRPr="008A753B" w:rsidRDefault="0000042C" w:rsidP="00CF367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207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521"/>
        <w:gridCol w:w="1984"/>
      </w:tblGrid>
      <w:tr w:rsidR="008A753B" w:rsidRPr="008A753B" w14:paraId="126299E9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0C3EDD">
            <w:pPr>
              <w:pStyle w:val="Heading2"/>
            </w:pPr>
            <w:r w:rsidRPr="002D430D">
              <w:t>Minute Ref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0C3EDD">
            <w:pPr>
              <w:pStyle w:val="Heading2"/>
            </w:pPr>
            <w:r w:rsidRPr="002D430D">
              <w:t>Item of Business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0C3EDD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A753B" w:rsidRPr="008A753B" w14:paraId="1F67B079" w14:textId="77777777" w:rsidTr="00E3316D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725AB083" w:rsidR="00022310" w:rsidRPr="00A85DEC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</w:t>
            </w:r>
            <w:r w:rsidR="00951B80">
              <w:t>_</w:t>
            </w:r>
            <w:r w:rsidR="00942EF8">
              <w:t>2024_03_06</w:t>
            </w:r>
            <w:r w:rsidR="00951B80">
              <w:t>_</w:t>
            </w: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006F15FB" w:rsidR="00022310" w:rsidRPr="008A753B" w:rsidRDefault="00D40EE9" w:rsidP="00172CB8">
            <w:pPr>
              <w:pStyle w:val="Heading2"/>
            </w:pPr>
            <w:r w:rsidRPr="008A753B">
              <w:t>DECLARATIONS OF INTEREST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77A9009D" w:rsidR="00022310" w:rsidRPr="008A753B" w:rsidRDefault="00022310" w:rsidP="00172CB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73446107" w:rsidR="00C54F81" w:rsidRPr="008A753B" w:rsidRDefault="00D9396D" w:rsidP="00810722">
            <w:pPr>
              <w:spacing w:before="60" w:after="60"/>
              <w:rPr>
                <w:sz w:val="24"/>
                <w:szCs w:val="24"/>
              </w:rPr>
            </w:pPr>
            <w:r w:rsidRPr="6179A32C">
              <w:rPr>
                <w:sz w:val="24"/>
                <w:szCs w:val="24"/>
              </w:rPr>
              <w:t xml:space="preserve">The CFO and CPO/PVCDI declared an interest in item </w:t>
            </w:r>
            <w:r w:rsidR="00942EF8" w:rsidRPr="6179A32C">
              <w:rPr>
                <w:sz w:val="24"/>
                <w:szCs w:val="24"/>
              </w:rPr>
              <w:t>4</w:t>
            </w:r>
            <w:r w:rsidRPr="6179A32C">
              <w:rPr>
                <w:sz w:val="24"/>
                <w:szCs w:val="24"/>
              </w:rPr>
              <w:t xml:space="preserve"> as Directors of SHU Law L</w:t>
            </w:r>
            <w:r w:rsidR="00CE2236" w:rsidRPr="6179A32C">
              <w:rPr>
                <w:sz w:val="24"/>
                <w:szCs w:val="24"/>
              </w:rPr>
              <w:t>td</w:t>
            </w:r>
            <w:r w:rsidRPr="6179A32C">
              <w:rPr>
                <w:sz w:val="24"/>
                <w:szCs w:val="24"/>
              </w:rPr>
              <w:t>.</w:t>
            </w:r>
          </w:p>
        </w:tc>
      </w:tr>
      <w:tr w:rsidR="003A56C1" w:rsidRPr="008A753B" w14:paraId="4118F7A3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58DC83D7" w:rsidR="003A56C1" w:rsidRPr="003A56C1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</w:t>
            </w:r>
            <w:r w:rsidR="00951B80">
              <w:t>_</w:t>
            </w:r>
            <w:r w:rsidR="00942EF8">
              <w:t>2024_03_06</w:t>
            </w:r>
            <w:r w:rsidR="00951B80">
              <w:t>_</w:t>
            </w: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77510CF6" w:rsidR="004A27EA" w:rsidRPr="008A753B" w:rsidRDefault="00D40EE9" w:rsidP="00172CB8">
            <w:pPr>
              <w:pStyle w:val="Heading2"/>
            </w:pPr>
            <w:r w:rsidRPr="008A753B">
              <w:t xml:space="preserve">CHAIR’S BUSINESS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77777777" w:rsidR="003A56C1" w:rsidRPr="003A56C1" w:rsidRDefault="003A56C1" w:rsidP="00172CB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A753B" w:rsidRPr="008A753B" w14:paraId="45E5AE98" w14:textId="77777777" w:rsidTr="00E3316D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37B3F545" w14:textId="04C71F39" w:rsidR="00392682" w:rsidRPr="008A753B" w:rsidRDefault="003A56C1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14:paraId="0DD52B2A" w14:textId="2609A3D8" w:rsidR="003027CF" w:rsidRPr="001C0F4A" w:rsidRDefault="002D7F5F" w:rsidP="001C0F4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Designate was welcomed to the meeting. </w:t>
            </w:r>
          </w:p>
        </w:tc>
      </w:tr>
      <w:tr w:rsidR="001C0F4A" w:rsidRPr="008A753B" w14:paraId="69619111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51992151" w14:textId="209A9D68" w:rsidR="001C0F4A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36DC82C6" w14:textId="7DEAE517" w:rsidR="001C0F4A" w:rsidRPr="0018252C" w:rsidRDefault="00E30788" w:rsidP="00E3078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 reported that the following</w:t>
            </w:r>
            <w:r w:rsidR="001C0F4A" w:rsidRPr="001825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matters</w:t>
            </w:r>
            <w:r w:rsidR="000E7D86">
              <w:rPr>
                <w:sz w:val="24"/>
                <w:szCs w:val="24"/>
              </w:rPr>
              <w:t xml:space="preserve"> had been</w:t>
            </w:r>
            <w:r>
              <w:rPr>
                <w:sz w:val="24"/>
                <w:szCs w:val="24"/>
              </w:rPr>
              <w:t xml:space="preserve"> approved</w:t>
            </w:r>
            <w:r w:rsidR="001C0F4A" w:rsidRPr="0018252C">
              <w:rPr>
                <w:sz w:val="24"/>
                <w:szCs w:val="24"/>
              </w:rPr>
              <w:t xml:space="preserve"> under Chair’s action since the previous meetin</w:t>
            </w:r>
            <w:r w:rsidR="000E7D86">
              <w:rPr>
                <w:sz w:val="24"/>
                <w:szCs w:val="24"/>
              </w:rPr>
              <w:t>g:</w:t>
            </w:r>
          </w:p>
          <w:p w14:paraId="4491A6AB" w14:textId="02A1F925" w:rsidR="001C0F4A" w:rsidRPr="0018252C" w:rsidRDefault="000E7D86" w:rsidP="00A7297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software contract</w:t>
            </w:r>
            <w:r w:rsidRPr="001825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the </w:t>
            </w:r>
            <w:r w:rsidRPr="0018252C">
              <w:rPr>
                <w:sz w:val="24"/>
                <w:szCs w:val="24"/>
              </w:rPr>
              <w:t>Integration and Modern Data Architecture Project to secure favourable pricing</w:t>
            </w:r>
            <w:r>
              <w:rPr>
                <w:sz w:val="24"/>
                <w:szCs w:val="24"/>
              </w:rPr>
              <w:t xml:space="preserve"> before the December 2023 deadline; </w:t>
            </w:r>
          </w:p>
          <w:p w14:paraId="00983E3C" w14:textId="375065E1" w:rsidR="000E7D86" w:rsidRPr="000E7D86" w:rsidRDefault="000E7D86" w:rsidP="00A7297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1C0F4A" w:rsidRPr="0018252C">
              <w:rPr>
                <w:sz w:val="24"/>
                <w:szCs w:val="24"/>
              </w:rPr>
              <w:t xml:space="preserve"> contract </w:t>
            </w:r>
            <w:r>
              <w:rPr>
                <w:sz w:val="24"/>
                <w:szCs w:val="24"/>
              </w:rPr>
              <w:t xml:space="preserve">award </w:t>
            </w:r>
            <w:r w:rsidR="001C0F4A" w:rsidRPr="0018252C">
              <w:rPr>
                <w:sz w:val="24"/>
                <w:szCs w:val="24"/>
              </w:rPr>
              <w:t>to Sheffield Occupational Health Services</w:t>
            </w:r>
            <w:r>
              <w:rPr>
                <w:sz w:val="24"/>
                <w:szCs w:val="24"/>
              </w:rPr>
              <w:t xml:space="preserve"> given</w:t>
            </w:r>
            <w:r w:rsidRPr="0035053F">
              <w:rPr>
                <w:sz w:val="24"/>
                <w:szCs w:val="24"/>
              </w:rPr>
              <w:t xml:space="preserve"> the timescales around mobilisation</w:t>
            </w:r>
            <w:r>
              <w:rPr>
                <w:sz w:val="24"/>
                <w:szCs w:val="24"/>
              </w:rPr>
              <w:t xml:space="preserve">; and </w:t>
            </w:r>
          </w:p>
          <w:p w14:paraId="7AA00EB8" w14:textId="24808B4C" w:rsidR="001C0F4A" w:rsidRPr="001C0F4A" w:rsidRDefault="000E7D86" w:rsidP="00A7297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app</w:t>
            </w:r>
            <w:r w:rsidR="001C0F4A" w:rsidRPr="0018252C">
              <w:rPr>
                <w:sz w:val="24"/>
                <w:szCs w:val="24"/>
              </w:rPr>
              <w:t xml:space="preserve">roval of </w:t>
            </w:r>
            <w:r>
              <w:rPr>
                <w:sz w:val="24"/>
                <w:szCs w:val="24"/>
              </w:rPr>
              <w:t xml:space="preserve">the </w:t>
            </w:r>
            <w:r w:rsidR="001C0F4A" w:rsidRPr="0018252C">
              <w:rPr>
                <w:sz w:val="24"/>
                <w:szCs w:val="24"/>
              </w:rPr>
              <w:t>Barclays Bank Covenant Change.</w:t>
            </w:r>
          </w:p>
        </w:tc>
      </w:tr>
      <w:tr w:rsidR="001C0F4A" w:rsidRPr="008A753B" w14:paraId="499F3104" w14:textId="77777777" w:rsidTr="00E3316D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D794371" w14:textId="59866D50" w:rsidR="001C0F4A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</w:tcPr>
          <w:p w14:paraId="101D2849" w14:textId="0B25A4F7" w:rsidR="001C0F4A" w:rsidRPr="0018252C" w:rsidRDefault="000E7D86" w:rsidP="001C0F4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noted that the Chair has recently a</w:t>
            </w:r>
            <w:r w:rsidR="001C0F4A">
              <w:rPr>
                <w:sz w:val="24"/>
                <w:szCs w:val="24"/>
              </w:rPr>
              <w:t xml:space="preserve">ttended </w:t>
            </w:r>
            <w:r>
              <w:rPr>
                <w:sz w:val="24"/>
                <w:szCs w:val="24"/>
              </w:rPr>
              <w:t xml:space="preserve">a </w:t>
            </w:r>
            <w:r w:rsidR="001C0F4A">
              <w:rPr>
                <w:sz w:val="24"/>
                <w:szCs w:val="24"/>
              </w:rPr>
              <w:t xml:space="preserve">Finance and Procurement Team </w:t>
            </w:r>
            <w:r>
              <w:rPr>
                <w:sz w:val="24"/>
                <w:szCs w:val="24"/>
              </w:rPr>
              <w:t>meeting</w:t>
            </w:r>
            <w:r w:rsidR="001C0F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 w:rsidR="003E1A3C">
              <w:rPr>
                <w:sz w:val="24"/>
                <w:szCs w:val="24"/>
              </w:rPr>
              <w:t xml:space="preserve">recommended the benefits </w:t>
            </w:r>
            <w:r w:rsidR="00CE2236">
              <w:rPr>
                <w:sz w:val="24"/>
                <w:szCs w:val="24"/>
              </w:rPr>
              <w:t>of such visits</w:t>
            </w:r>
            <w:r w:rsidR="003E1A3C">
              <w:rPr>
                <w:sz w:val="24"/>
                <w:szCs w:val="24"/>
              </w:rPr>
              <w:t xml:space="preserve"> to Directorates within the Committee’s remit</w:t>
            </w:r>
            <w:r w:rsidR="000926CF">
              <w:rPr>
                <w:sz w:val="24"/>
                <w:szCs w:val="24"/>
              </w:rPr>
              <w:t>.</w:t>
            </w:r>
            <w:r w:rsidR="001C0F4A">
              <w:rPr>
                <w:sz w:val="24"/>
                <w:szCs w:val="24"/>
              </w:rPr>
              <w:t xml:space="preserve">  </w:t>
            </w:r>
          </w:p>
        </w:tc>
      </w:tr>
      <w:tr w:rsidR="001C0F4A" w:rsidRPr="008A753B" w14:paraId="641799F4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7B3AAEB6" w:rsidR="001C0F4A" w:rsidRPr="00E94B92" w:rsidRDefault="001C0F4A" w:rsidP="001C0F4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FEC_2024_03_06_3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1902D22C" w:rsidR="001C0F4A" w:rsidRPr="008A753B" w:rsidRDefault="001C0F4A" w:rsidP="001C0F4A">
            <w:pPr>
              <w:pStyle w:val="Heading2"/>
            </w:pPr>
            <w:r w:rsidRPr="008A753B">
              <w:t>MINUTES OF THE PREVIOUS MEETING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125BB52E" w:rsidR="001C0F4A" w:rsidRPr="000D79CD" w:rsidRDefault="001C0F4A" w:rsidP="001C0F4A">
            <w:pPr>
              <w:pStyle w:val="Heading3"/>
              <w:spacing w:before="60" w:after="60"/>
              <w:ind w:left="-113" w:right="-109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t>FEC_2024_03_06_P3</w:t>
            </w:r>
          </w:p>
        </w:tc>
      </w:tr>
      <w:tr w:rsidR="001C0F4A" w:rsidRPr="008A753B" w14:paraId="55126A0E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1C0F4A" w:rsidRPr="008A753B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16AFF285" w:rsidR="001C0F4A" w:rsidRPr="00A26A10" w:rsidRDefault="001C0F4A" w:rsidP="001C0F4A">
            <w:pPr>
              <w:spacing w:before="60" w:after="60"/>
              <w:rPr>
                <w:sz w:val="24"/>
                <w:szCs w:val="24"/>
              </w:rPr>
            </w:pPr>
            <w:r w:rsidRPr="00A26A10">
              <w:rPr>
                <w:sz w:val="24"/>
                <w:szCs w:val="24"/>
              </w:rPr>
              <w:t xml:space="preserve">The Committee </w:t>
            </w:r>
            <w:r w:rsidRPr="002E560D">
              <w:rPr>
                <w:b/>
                <w:bCs/>
                <w:sz w:val="24"/>
                <w:szCs w:val="24"/>
              </w:rPr>
              <w:t>approved</w:t>
            </w:r>
            <w:r w:rsidRPr="00A26A10">
              <w:rPr>
                <w:sz w:val="24"/>
                <w:szCs w:val="24"/>
              </w:rPr>
              <w:t xml:space="preserve"> the minutes (including the confidential minutes) of the meeting</w:t>
            </w:r>
            <w:r>
              <w:rPr>
                <w:sz w:val="24"/>
                <w:szCs w:val="24"/>
              </w:rPr>
              <w:t>s</w:t>
            </w:r>
            <w:r w:rsidRPr="00A26A10">
              <w:rPr>
                <w:sz w:val="24"/>
                <w:szCs w:val="24"/>
              </w:rPr>
              <w:t xml:space="preserve"> held on </w:t>
            </w:r>
            <w:r>
              <w:rPr>
                <w:sz w:val="24"/>
                <w:szCs w:val="24"/>
              </w:rPr>
              <w:t xml:space="preserve">16 November </w:t>
            </w:r>
            <w:r w:rsidRPr="00A26A1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6A10">
              <w:rPr>
                <w:sz w:val="24"/>
                <w:szCs w:val="24"/>
              </w:rPr>
              <w:t xml:space="preserve"> as an accurate record.</w:t>
            </w:r>
          </w:p>
        </w:tc>
      </w:tr>
      <w:tr w:rsidR="001C0F4A" w:rsidRPr="008A753B" w14:paraId="45842A65" w14:textId="77777777" w:rsidTr="00E3316D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0341D9AA" w:rsidR="001C0F4A" w:rsidRPr="00826269" w:rsidRDefault="001C0F4A" w:rsidP="001C0F4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FEC_2024_03_06_4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12D152A9" w:rsidR="001C0F4A" w:rsidRPr="008A753B" w:rsidRDefault="001C0F4A" w:rsidP="001C0F4A">
            <w:pPr>
              <w:pStyle w:val="Heading2"/>
            </w:pPr>
            <w:r w:rsidRPr="008A753B">
              <w:t>MATTERS ARISING</w:t>
            </w:r>
            <w:r>
              <w:t xml:space="preserve"> AND ACTION TRACKER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3722B71C" w:rsidR="001C0F4A" w:rsidRPr="00CC16EB" w:rsidRDefault="001C0F4A" w:rsidP="001C0F4A">
            <w:pPr>
              <w:pStyle w:val="Heading3"/>
              <w:spacing w:before="60" w:after="60"/>
              <w:ind w:left="-113" w:right="-109"/>
              <w:jc w:val="right"/>
            </w:pPr>
            <w:r>
              <w:t>FEC_2024_03_06_P4</w:t>
            </w:r>
          </w:p>
        </w:tc>
      </w:tr>
      <w:tr w:rsidR="001C0F4A" w:rsidRPr="008A753B" w14:paraId="127263CF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1C0F4A" w:rsidRPr="008A753B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CA660" w14:textId="02367C0F" w:rsidR="001C0F4A" w:rsidRPr="0018252C" w:rsidRDefault="000926CF" w:rsidP="001C0F4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following matters arising were noted.</w:t>
            </w:r>
          </w:p>
          <w:p w14:paraId="7C8B831B" w14:textId="3B118EAA" w:rsidR="000926CF" w:rsidRPr="000926CF" w:rsidRDefault="000926CF" w:rsidP="00A729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the Committee’s agreement </w:t>
            </w:r>
            <w:r w:rsidRPr="000926CF">
              <w:rPr>
                <w:rFonts w:cstheme="minorHAnsi"/>
                <w:sz w:val="24"/>
                <w:szCs w:val="24"/>
              </w:rPr>
              <w:t>that the</w:t>
            </w:r>
            <w:r w:rsidR="001C0F4A" w:rsidRPr="000926CF">
              <w:rPr>
                <w:rFonts w:cstheme="minorHAnsi"/>
                <w:sz w:val="24"/>
                <w:szCs w:val="24"/>
              </w:rPr>
              <w:t xml:space="preserve"> briefing on </w:t>
            </w:r>
            <w:bookmarkStart w:id="0" w:name="_Hlk159428094"/>
            <w:r w:rsidRPr="000926CF">
              <w:rPr>
                <w:rFonts w:cstheme="minorHAnsi"/>
                <w:sz w:val="24"/>
                <w:szCs w:val="24"/>
              </w:rPr>
              <w:t xml:space="preserve">the </w:t>
            </w:r>
            <w:r w:rsidR="001C0F4A" w:rsidRPr="000926CF">
              <w:rPr>
                <w:rFonts w:cstheme="minorHAnsi"/>
                <w:sz w:val="24"/>
                <w:szCs w:val="24"/>
              </w:rPr>
              <w:t xml:space="preserve">Academic Career Framework </w:t>
            </w:r>
            <w:bookmarkEnd w:id="0"/>
            <w:r w:rsidR="003E1A3C">
              <w:rPr>
                <w:rFonts w:cstheme="minorHAnsi"/>
                <w:sz w:val="24"/>
                <w:szCs w:val="24"/>
              </w:rPr>
              <w:t>would lend itself to</w:t>
            </w:r>
            <w:r w:rsidRPr="000926CF">
              <w:rPr>
                <w:rFonts w:cstheme="minorHAnsi"/>
                <w:sz w:val="24"/>
                <w:szCs w:val="24"/>
              </w:rPr>
              <w:t xml:space="preserve"> a p</w:t>
            </w:r>
            <w:r w:rsidRPr="000926CF">
              <w:rPr>
                <w:rStyle w:val="ui-provider"/>
                <w:sz w:val="24"/>
                <w:szCs w:val="24"/>
              </w:rPr>
              <w:t>re-dinner presentation to the Board of Governors</w:t>
            </w:r>
            <w:r w:rsidR="00AB0E4C">
              <w:rPr>
                <w:rStyle w:val="ui-provider"/>
                <w:sz w:val="24"/>
                <w:szCs w:val="24"/>
              </w:rPr>
              <w:t xml:space="preserve"> (the Board)</w:t>
            </w:r>
            <w:r>
              <w:rPr>
                <w:sz w:val="24"/>
                <w:szCs w:val="24"/>
              </w:rPr>
              <w:t>; and</w:t>
            </w:r>
          </w:p>
          <w:p w14:paraId="179D8E8D" w14:textId="0EA97873" w:rsidR="001C0F4A" w:rsidRPr="0018252C" w:rsidRDefault="000926CF" w:rsidP="00A72977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u</w:t>
            </w:r>
            <w:r w:rsidR="001C0F4A" w:rsidRPr="0018252C">
              <w:rPr>
                <w:sz w:val="24"/>
                <w:szCs w:val="24"/>
              </w:rPr>
              <w:t xml:space="preserve">pdate </w:t>
            </w:r>
            <w:r w:rsidR="008B3B03">
              <w:rPr>
                <w:sz w:val="24"/>
                <w:szCs w:val="24"/>
              </w:rPr>
              <w:t>from the University Secretary</w:t>
            </w:r>
            <w:r w:rsidR="008B3B03" w:rsidRPr="0018252C">
              <w:rPr>
                <w:sz w:val="24"/>
                <w:szCs w:val="24"/>
              </w:rPr>
              <w:t xml:space="preserve"> </w:t>
            </w:r>
            <w:r w:rsidR="001C0F4A" w:rsidRPr="0018252C">
              <w:rPr>
                <w:sz w:val="24"/>
                <w:szCs w:val="24"/>
              </w:rPr>
              <w:t>on the de-registration and dissolution of SHU Law Ltd</w:t>
            </w:r>
            <w:r>
              <w:rPr>
                <w:sz w:val="24"/>
                <w:szCs w:val="24"/>
              </w:rPr>
              <w:t>.</w:t>
            </w:r>
            <w:r w:rsidR="001C0F4A">
              <w:rPr>
                <w:sz w:val="24"/>
                <w:szCs w:val="24"/>
              </w:rPr>
              <w:t xml:space="preserve"> </w:t>
            </w:r>
            <w:r w:rsidR="008B3B03">
              <w:rPr>
                <w:sz w:val="24"/>
                <w:szCs w:val="24"/>
              </w:rPr>
              <w:t xml:space="preserve">Companies House had been notified of the Company’s change in status </w:t>
            </w:r>
            <w:r w:rsidR="00CE2236">
              <w:rPr>
                <w:sz w:val="24"/>
                <w:szCs w:val="24"/>
              </w:rPr>
              <w:t xml:space="preserve">to dormant </w:t>
            </w:r>
            <w:r w:rsidR="008B3B03">
              <w:rPr>
                <w:sz w:val="24"/>
                <w:szCs w:val="24"/>
              </w:rPr>
              <w:t xml:space="preserve">with effect from </w:t>
            </w:r>
            <w:r w:rsidR="001C0F4A">
              <w:rPr>
                <w:sz w:val="24"/>
                <w:szCs w:val="24"/>
              </w:rPr>
              <w:t>29 February</w:t>
            </w:r>
            <w:r w:rsidR="008B3B03">
              <w:rPr>
                <w:sz w:val="24"/>
                <w:szCs w:val="24"/>
              </w:rPr>
              <w:t xml:space="preserve"> 20</w:t>
            </w:r>
            <w:r w:rsidR="00CE2236">
              <w:rPr>
                <w:sz w:val="24"/>
                <w:szCs w:val="24"/>
              </w:rPr>
              <w:t>24</w:t>
            </w:r>
            <w:r w:rsidR="001C0F4A">
              <w:rPr>
                <w:sz w:val="24"/>
                <w:szCs w:val="24"/>
              </w:rPr>
              <w:t xml:space="preserve"> </w:t>
            </w:r>
            <w:r w:rsidR="008B3B03">
              <w:rPr>
                <w:sz w:val="24"/>
                <w:szCs w:val="24"/>
              </w:rPr>
              <w:t>and deregistration with the SRA was complete. An application for dissolution would follow in three mont</w:t>
            </w:r>
            <w:r w:rsidR="001C0F4A">
              <w:rPr>
                <w:sz w:val="24"/>
                <w:szCs w:val="24"/>
              </w:rPr>
              <w:t>hs’ time</w:t>
            </w:r>
            <w:r w:rsidR="008B3B03">
              <w:rPr>
                <w:sz w:val="24"/>
                <w:szCs w:val="24"/>
              </w:rPr>
              <w:t xml:space="preserve"> and the Committee would be notified once dissolution was achieved (usually circa two months post application). It was noted that </w:t>
            </w:r>
            <w:r>
              <w:rPr>
                <w:sz w:val="24"/>
                <w:szCs w:val="24"/>
              </w:rPr>
              <w:t>student</w:t>
            </w:r>
            <w:r w:rsidR="006D35CC">
              <w:rPr>
                <w:sz w:val="24"/>
                <w:szCs w:val="24"/>
              </w:rPr>
              <w:t xml:space="preserve"> requirements</w:t>
            </w:r>
            <w:r w:rsidR="008B3B03">
              <w:rPr>
                <w:sz w:val="24"/>
                <w:szCs w:val="24"/>
              </w:rPr>
              <w:t xml:space="preserve"> continued to </w:t>
            </w:r>
            <w:r w:rsidR="006D35CC">
              <w:rPr>
                <w:sz w:val="24"/>
                <w:szCs w:val="24"/>
              </w:rPr>
              <w:t>be met</w:t>
            </w:r>
            <w:r w:rsidR="008B3B03">
              <w:rPr>
                <w:sz w:val="24"/>
                <w:szCs w:val="24"/>
              </w:rPr>
              <w:t xml:space="preserve"> through the </w:t>
            </w:r>
            <w:r w:rsidR="008B3B03" w:rsidRPr="008B3B03">
              <w:rPr>
                <w:sz w:val="24"/>
                <w:szCs w:val="24"/>
              </w:rPr>
              <w:t>Hallam Legal Advice Centre</w:t>
            </w:r>
            <w:r>
              <w:rPr>
                <w:sz w:val="24"/>
                <w:szCs w:val="24"/>
              </w:rPr>
              <w:t xml:space="preserve"> </w:t>
            </w:r>
            <w:r w:rsidR="00D7567D">
              <w:rPr>
                <w:sz w:val="24"/>
                <w:szCs w:val="24"/>
              </w:rPr>
              <w:t xml:space="preserve">and </w:t>
            </w:r>
            <w:r w:rsidR="003E1A3C">
              <w:rPr>
                <w:sz w:val="24"/>
                <w:szCs w:val="24"/>
              </w:rPr>
              <w:t>checks</w:t>
            </w:r>
            <w:r w:rsidR="008B3B03">
              <w:rPr>
                <w:sz w:val="24"/>
                <w:szCs w:val="24"/>
              </w:rPr>
              <w:t xml:space="preserve"> in relation to a limited number of </w:t>
            </w:r>
            <w:r w:rsidR="00D7567D">
              <w:rPr>
                <w:sz w:val="24"/>
                <w:szCs w:val="24"/>
              </w:rPr>
              <w:t xml:space="preserve">cases </w:t>
            </w:r>
            <w:r w:rsidR="008B3B03">
              <w:rPr>
                <w:sz w:val="24"/>
                <w:szCs w:val="24"/>
              </w:rPr>
              <w:t>involving</w:t>
            </w:r>
            <w:r w:rsidR="00D7567D">
              <w:rPr>
                <w:sz w:val="24"/>
                <w:szCs w:val="24"/>
              </w:rPr>
              <w:t xml:space="preserve"> regulated activity </w:t>
            </w:r>
            <w:r w:rsidR="003E1A3C">
              <w:rPr>
                <w:sz w:val="24"/>
                <w:szCs w:val="24"/>
              </w:rPr>
              <w:t>were</w:t>
            </w:r>
            <w:r w:rsidR="008B3B03">
              <w:rPr>
                <w:sz w:val="24"/>
                <w:szCs w:val="24"/>
              </w:rPr>
              <w:t xml:space="preserve"> being undertaken to</w:t>
            </w:r>
            <w:r w:rsidR="00D7567D">
              <w:rPr>
                <w:sz w:val="24"/>
                <w:szCs w:val="24"/>
              </w:rPr>
              <w:t xml:space="preserve"> ensure </w:t>
            </w:r>
            <w:r w:rsidR="008B3B03">
              <w:rPr>
                <w:sz w:val="24"/>
                <w:szCs w:val="24"/>
              </w:rPr>
              <w:t xml:space="preserve">satisfactory </w:t>
            </w:r>
            <w:r w:rsidR="00D7567D">
              <w:rPr>
                <w:sz w:val="24"/>
                <w:szCs w:val="24"/>
              </w:rPr>
              <w:t xml:space="preserve">arrangements </w:t>
            </w:r>
            <w:r w:rsidR="008B3B03">
              <w:rPr>
                <w:sz w:val="24"/>
                <w:szCs w:val="24"/>
              </w:rPr>
              <w:t xml:space="preserve">were </w:t>
            </w:r>
            <w:r w:rsidR="00D7567D">
              <w:rPr>
                <w:sz w:val="24"/>
                <w:szCs w:val="24"/>
              </w:rPr>
              <w:t xml:space="preserve">in place. </w:t>
            </w:r>
          </w:p>
        </w:tc>
      </w:tr>
      <w:tr w:rsidR="001C0F4A" w:rsidRPr="008A753B" w14:paraId="1D5DEFEF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296242" w14:textId="688F1BDC" w:rsidR="001C0F4A" w:rsidRPr="00A85DEC" w:rsidRDefault="001C0F4A" w:rsidP="001C0F4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bookmarkStart w:id="1" w:name="_Hlk114508986"/>
            <w:r>
              <w:lastRenderedPageBreak/>
              <w:t>FEC_2024_03_06_5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AB4815" w14:textId="0FA864C8" w:rsidR="001C0F4A" w:rsidRPr="00A85DEC" w:rsidRDefault="001C0F4A" w:rsidP="001C0F4A">
            <w:pPr>
              <w:pStyle w:val="Heading2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MEDIUM-TERM FINANCIAL STRATEGY (</w:t>
            </w:r>
            <w:r w:rsidRPr="00B234FB">
              <w:rPr>
                <w:bCs/>
                <w:szCs w:val="24"/>
              </w:rPr>
              <w:t>MTFS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F919C3" w14:textId="568D9FA5" w:rsidR="001C0F4A" w:rsidRPr="009E30DD" w:rsidRDefault="001C0F4A" w:rsidP="001C0F4A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</w:p>
        </w:tc>
      </w:tr>
      <w:bookmarkEnd w:id="1"/>
      <w:tr w:rsidR="001C0F4A" w:rsidRPr="008A753B" w14:paraId="1125809F" w14:textId="77777777" w:rsidTr="00E3316D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0EC0F21D" w14:textId="137155D4" w:rsidR="001C0F4A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14:paraId="67C00076" w14:textId="74BD2A45" w:rsidR="003A4A86" w:rsidRDefault="001F6D5C" w:rsidP="001B5FBA">
            <w:pPr>
              <w:spacing w:before="60" w:after="60"/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Members were briefed by t</w:t>
            </w:r>
            <w:r w:rsidR="000926CF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he CFO</w:t>
            </w:r>
            <w:r w:rsidR="001C0F4A" w:rsidRPr="008666A1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926CF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on</w:t>
            </w:r>
            <w:r w:rsidR="001C0F4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the Period 6 </w:t>
            </w:r>
            <w:r w:rsidR="003E1A3C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covenant compliant </w:t>
            </w:r>
            <w:r w:rsidR="000926CF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position</w:t>
            </w:r>
            <w:r w:rsidR="00D7567D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D35CC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(Paper </w:t>
            </w:r>
            <w:r w:rsidR="003E1A3C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FEC_2024_03_06_P</w:t>
            </w:r>
            <w:r w:rsidR="006D35CC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1</w:t>
            </w:r>
            <w:r w:rsidR="000F2863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3</w:t>
            </w:r>
            <w:r w:rsidR="006D35CC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) and o</w:t>
            </w:r>
            <w:r w:rsidR="001C0F4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utlined </w:t>
            </w:r>
            <w:r w:rsidR="001C0F4A" w:rsidRPr="001B0F9F">
              <w:rPr>
                <w:bCs/>
                <w:sz w:val="24"/>
                <w:szCs w:val="24"/>
              </w:rPr>
              <w:t xml:space="preserve">the action </w:t>
            </w:r>
            <w:r w:rsidR="001C0F4A">
              <w:rPr>
                <w:bCs/>
                <w:sz w:val="24"/>
                <w:szCs w:val="24"/>
              </w:rPr>
              <w:t>required</w:t>
            </w:r>
            <w:r w:rsidR="001C0F4A" w:rsidRPr="001B0F9F">
              <w:rPr>
                <w:bCs/>
                <w:sz w:val="24"/>
                <w:szCs w:val="24"/>
              </w:rPr>
              <w:t xml:space="preserve"> to </w:t>
            </w:r>
            <w:r w:rsidR="00623CF5">
              <w:rPr>
                <w:bCs/>
                <w:sz w:val="24"/>
                <w:szCs w:val="24"/>
              </w:rPr>
              <w:t>deliver</w:t>
            </w:r>
            <w:r w:rsidR="001C0F4A" w:rsidRPr="001B0F9F">
              <w:rPr>
                <w:bCs/>
                <w:sz w:val="24"/>
                <w:szCs w:val="24"/>
              </w:rPr>
              <w:t xml:space="preserve"> additional non-pay savings</w:t>
            </w:r>
            <w:r w:rsidR="006D35CC">
              <w:rPr>
                <w:bCs/>
                <w:sz w:val="24"/>
                <w:szCs w:val="24"/>
              </w:rPr>
              <w:t xml:space="preserve">. </w:t>
            </w:r>
            <w:r w:rsidR="001B5FBA">
              <w:rPr>
                <w:bCs/>
                <w:sz w:val="24"/>
                <w:szCs w:val="24"/>
              </w:rPr>
              <w:t>A confidential minute was recorded.</w:t>
            </w:r>
          </w:p>
          <w:p w14:paraId="1B1509CB" w14:textId="2EB2FF9D" w:rsidR="004F0410" w:rsidRPr="00AB0E4C" w:rsidRDefault="00AB0E4C" w:rsidP="00AB0E4C">
            <w:pPr>
              <w:spacing w:before="60" w:after="60"/>
              <w:rPr>
                <w:rFonts w:ascii="Calibri" w:eastAsiaTheme="majorEastAsia" w:hAnsi="Calibr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bCs/>
                <w:color w:val="000000" w:themeColor="text1"/>
                <w:sz w:val="24"/>
                <w:szCs w:val="24"/>
              </w:rPr>
              <w:t xml:space="preserve">The Committee expressed its appreciation and support for the Executive Team’s proactive financial management and significant efforts to keep FEC and the Board appraised of developments. </w:t>
            </w:r>
            <w:r w:rsidR="004F0410">
              <w:rPr>
                <w:rFonts w:ascii="Calibri" w:eastAsiaTheme="majorEastAsia" w:hAnsi="Calibr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0F4A" w:rsidRPr="008A753B" w14:paraId="64316D63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1EAC6D96" w14:textId="5676F738" w:rsidR="001C0F4A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313CB7B6" w14:textId="77777777" w:rsidR="001F6D5C" w:rsidRPr="001B5FBA" w:rsidRDefault="001F6D5C" w:rsidP="001C0F4A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The CFO presented an update on the MTFS including:</w:t>
            </w:r>
          </w:p>
          <w:p w14:paraId="48800D26" w14:textId="058AEAF3" w:rsidR="001F6D5C" w:rsidRPr="001B5FBA" w:rsidRDefault="00C76CAA" w:rsidP="00A7297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</w:pPr>
            <w:r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the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importance of </w:t>
            </w:r>
            <w:r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increasing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net cash generation to ensure </w:t>
            </w:r>
            <w:r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sufficient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headroom against the net debt covenant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, given the predicted fall in interest rates</w:t>
            </w:r>
            <w:r w:rsidR="001B5FBA" w:rsidRPr="001B5FBA">
              <w:rPr>
                <w:rFonts w:cstheme="minorHAnsi"/>
                <w:color w:val="000000" w:themeColor="text1"/>
                <w:sz w:val="24"/>
                <w:szCs w:val="24"/>
              </w:rPr>
              <w:t>. A confidential minute was recorded.</w:t>
            </w:r>
          </w:p>
          <w:p w14:paraId="4DE97570" w14:textId="3D6637F2" w:rsidR="001F6D5C" w:rsidRPr="001B5FBA" w:rsidRDefault="00623CF5" w:rsidP="00A7297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="003E1A3C" w:rsidRPr="001B5FBA">
              <w:rPr>
                <w:rFonts w:cstheme="minorHAnsi"/>
                <w:color w:val="000000" w:themeColor="text1"/>
                <w:sz w:val="24"/>
                <w:szCs w:val="24"/>
              </w:rPr>
              <w:t>he c</w:t>
            </w:r>
            <w:r w:rsidR="00C76CAA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hallenging </w:t>
            </w:r>
            <w:r w:rsidR="000F286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nature of the 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financial targets to 2026/27 </w:t>
            </w:r>
            <w:r w:rsidR="00D46D6E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and the</w:t>
            </w:r>
            <w:r w:rsidR="00D46D6E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cash position going into 20</w:t>
            </w:r>
            <w:r w:rsidR="001F6D5C" w:rsidRPr="001B5FBA">
              <w:rPr>
                <w:rFonts w:cstheme="minorHAnsi"/>
                <w:color w:val="000000" w:themeColor="text1"/>
                <w:sz w:val="24"/>
                <w:szCs w:val="24"/>
              </w:rPr>
              <w:t>24/25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1F6D5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46D6E" w:rsidRPr="001B5FBA">
              <w:rPr>
                <w:rFonts w:cstheme="minorHAnsi"/>
                <w:color w:val="000000" w:themeColor="text1"/>
                <w:sz w:val="24"/>
                <w:szCs w:val="24"/>
              </w:rPr>
              <w:t>combined with</w:t>
            </w:r>
            <w:r w:rsidR="001F6D5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the</w:t>
            </w:r>
            <w:r w:rsidR="00D46D6E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additional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running costs of the Howard Street development alongside the existing estate</w:t>
            </w:r>
            <w:r w:rsidR="00D46D6E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and</w:t>
            </w:r>
            <w:r w:rsidR="001F6D5C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pay award and pension </w:t>
            </w:r>
            <w:r w:rsidR="00D46D6E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assumptions</w:t>
            </w:r>
            <w:r w:rsidR="008F2382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; and</w:t>
            </w:r>
            <w:r w:rsidR="001F6D5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0E66EEE" w14:textId="1B62E764" w:rsidR="003E1A3C" w:rsidRPr="001B5FBA" w:rsidRDefault="002F5455" w:rsidP="00A7297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a</w:t>
            </w:r>
            <w:r w:rsidR="001B5FBA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confidential minute was recorded.</w:t>
            </w:r>
          </w:p>
          <w:p w14:paraId="5EE36C91" w14:textId="06EC976B" w:rsidR="00AF3B0C" w:rsidRPr="001B5FBA" w:rsidRDefault="003E1A3C" w:rsidP="00F012A1">
            <w:pPr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It was noted th</w:t>
            </w:r>
            <w:r w:rsidR="00F012A1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at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more detailed </w:t>
            </w:r>
            <w:r w:rsidR="004F0410" w:rsidRPr="001B5FBA">
              <w:rPr>
                <w:rFonts w:cstheme="minorHAnsi"/>
                <w:color w:val="000000" w:themeColor="text1"/>
                <w:sz w:val="24"/>
                <w:szCs w:val="24"/>
              </w:rPr>
              <w:t>options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would be presented to the Board at the end of March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including efficiency 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savings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and service levels in Professional Services, 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the potential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to accelerate system-led developments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, a review </w:t>
            </w:r>
            <w:r w:rsidR="00F012A1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of 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>decision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-making processes</w:t>
            </w:r>
            <w:r w:rsidR="00AF3B0C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to ensure agility around portfolio decisions and proposals around the terms and conditions of employment offer.</w:t>
            </w:r>
            <w:r w:rsidR="009908A9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2560CA6" w14:textId="4926FD5A" w:rsidR="00A60DD3" w:rsidRPr="001B5FBA" w:rsidRDefault="00A60DD3" w:rsidP="00F012A1">
            <w:pPr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In response to a query on whether the workforce change programme assumptions were included within </w:t>
            </w:r>
            <w:r w:rsidR="00623CF5" w:rsidRPr="001B5FBA">
              <w:rPr>
                <w:rFonts w:cstheme="minorHAnsi"/>
                <w:color w:val="000000" w:themeColor="text1"/>
                <w:sz w:val="24"/>
                <w:szCs w:val="24"/>
              </w:rPr>
              <w:t>the MT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F</w:t>
            </w:r>
            <w:r w:rsidR="00623CF5" w:rsidRPr="001B5FBA">
              <w:rPr>
                <w:rFonts w:cstheme="minorHAnsi"/>
                <w:color w:val="000000" w:themeColor="text1"/>
                <w:sz w:val="24"/>
                <w:szCs w:val="24"/>
              </w:rPr>
              <w:t>S f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orecast, the CFO confirmed this was the case with the exception of some savings </w:t>
            </w:r>
            <w:r w:rsidR="00623CF5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yet to be confirmed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from the academic restructure. </w:t>
            </w:r>
          </w:p>
          <w:p w14:paraId="57F4C4DE" w14:textId="15079064" w:rsidR="009908A9" w:rsidRPr="001B5FBA" w:rsidRDefault="00623CF5" w:rsidP="00A60DD3">
            <w:pPr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Members highlighted that the Board </w:t>
            </w:r>
            <w:r w:rsidR="0067318A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would </w:t>
            </w:r>
            <w:r w:rsidR="00332C1B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benefit from receiving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information on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the impact of the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income generation and/or cost reduction 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>choices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available to the University, 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together with a more detailed </w:t>
            </w:r>
            <w:r w:rsidR="009908A9" w:rsidRPr="001B5FBA">
              <w:rPr>
                <w:rFonts w:cstheme="minorHAnsi"/>
                <w:color w:val="000000" w:themeColor="text1"/>
                <w:sz w:val="24"/>
                <w:szCs w:val="24"/>
              </w:rPr>
              <w:t>explan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>ation of</w:t>
            </w:r>
            <w:r w:rsidR="009908A9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the </w:t>
            </w:r>
            <w:r w:rsidR="00A60DD3" w:rsidRPr="001B5FB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rationale for the cost base reduction trajectory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FEC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agreed that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further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information could be circulated to the Committee for consideration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/comment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outside of the</w:t>
            </w:r>
            <w:r w:rsidR="00F012A1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meeting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cycle</w:t>
            </w:r>
            <w:r w:rsidR="00F012A1"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 xml:space="preserve">to facilitate </w:t>
            </w:r>
            <w:r w:rsidR="00A60DD3" w:rsidRPr="001B5FBA">
              <w:rPr>
                <w:rFonts w:cstheme="minorHAnsi"/>
                <w:color w:val="000000" w:themeColor="text1"/>
                <w:sz w:val="24"/>
                <w:szCs w:val="24"/>
              </w:rPr>
              <w:t>agile decision-making</w:t>
            </w:r>
            <w:r w:rsidRPr="001B5FBA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1C0F4A" w:rsidRPr="008A753B" w14:paraId="2A23FCAB" w14:textId="77777777" w:rsidTr="00E3316D"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1BC7432" w14:textId="00148625" w:rsidR="001C0F4A" w:rsidRPr="00A85DEC" w:rsidRDefault="001C0F4A" w:rsidP="001C0F4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bookmarkStart w:id="2" w:name="_Hlk114508928"/>
            <w:bookmarkStart w:id="3" w:name="_Hlk119580530"/>
            <w:bookmarkStart w:id="4" w:name="_Hlk128499660"/>
            <w:bookmarkStart w:id="5" w:name="_Hlk120019320"/>
            <w:r>
              <w:t>FEC_2024_03_06_6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5C2489A" w14:textId="5E68AB38" w:rsidR="001C0F4A" w:rsidRPr="00A85DEC" w:rsidRDefault="001C0F4A" w:rsidP="001C0F4A">
            <w:pPr>
              <w:pStyle w:val="Heading2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ESTATES DEVELOPMENT REPORT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9681CC0" w14:textId="5937AC36" w:rsidR="001C0F4A" w:rsidRPr="009E30DD" w:rsidRDefault="001C0F4A" w:rsidP="001C0F4A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  <w:r w:rsidRPr="009E30DD">
              <w:rPr>
                <w:sz w:val="18"/>
                <w:szCs w:val="18"/>
              </w:rPr>
              <w:t>FEC</w:t>
            </w:r>
            <w:r>
              <w:rPr>
                <w:sz w:val="18"/>
                <w:szCs w:val="18"/>
              </w:rPr>
              <w:t>_2024_03_06_</w:t>
            </w:r>
            <w:r w:rsidRPr="009E30D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6</w:t>
            </w:r>
          </w:p>
        </w:tc>
      </w:tr>
      <w:bookmarkEnd w:id="2"/>
      <w:bookmarkEnd w:id="3"/>
      <w:bookmarkEnd w:id="4"/>
      <w:bookmarkEnd w:id="5"/>
      <w:tr w:rsidR="001C0F4A" w:rsidRPr="008A753B" w14:paraId="4E313624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41A0FCF8" w14:textId="1EA385E4" w:rsidR="001C0F4A" w:rsidRPr="008A753B" w:rsidRDefault="001C0F4A" w:rsidP="001C0F4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31E12407" w14:textId="0DDAB7DF" w:rsidR="0067075A" w:rsidRDefault="00522E39" w:rsidP="0067075A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The GDSI&amp;C</w:t>
            </w:r>
            <w:r w:rsidR="0020251E" w:rsidRPr="0067075A">
              <w:rPr>
                <w:sz w:val="24"/>
                <w:szCs w:val="24"/>
              </w:rPr>
              <w:t xml:space="preserve"> presented </w:t>
            </w:r>
            <w:r w:rsidR="001C0F4A" w:rsidRPr="0067075A">
              <w:rPr>
                <w:sz w:val="24"/>
                <w:szCs w:val="24"/>
              </w:rPr>
              <w:t xml:space="preserve">the </w:t>
            </w:r>
            <w:r w:rsidR="001C0F4A" w:rsidRPr="0067075A">
              <w:rPr>
                <w:rFonts w:ascii="Calibri" w:eastAsia="Calibri" w:hAnsi="Calibri" w:cs="Calibri"/>
                <w:sz w:val="24"/>
                <w:szCs w:val="24"/>
              </w:rPr>
              <w:t xml:space="preserve">proposed approach </w:t>
            </w:r>
            <w:r w:rsidR="001C0F4A" w:rsidRPr="0067075A">
              <w:rPr>
                <w:sz w:val="24"/>
                <w:szCs w:val="24"/>
              </w:rPr>
              <w:t>for revising the Campus Plan</w:t>
            </w:r>
            <w:r w:rsidR="0020251E" w:rsidRPr="0067075A">
              <w:rPr>
                <w:sz w:val="24"/>
                <w:szCs w:val="24"/>
              </w:rPr>
              <w:t xml:space="preserve"> to align with </w:t>
            </w:r>
            <w:r w:rsidR="00E436A3">
              <w:rPr>
                <w:sz w:val="24"/>
                <w:szCs w:val="24"/>
              </w:rPr>
              <w:t xml:space="preserve">the </w:t>
            </w:r>
            <w:r w:rsidR="0020251E" w:rsidRPr="0067075A">
              <w:rPr>
                <w:sz w:val="24"/>
                <w:szCs w:val="24"/>
              </w:rPr>
              <w:t>MTFS</w:t>
            </w:r>
            <w:r w:rsidR="001C0F4A" w:rsidRPr="0067075A">
              <w:rPr>
                <w:sz w:val="24"/>
                <w:szCs w:val="24"/>
              </w:rPr>
              <w:t xml:space="preserve"> </w:t>
            </w:r>
            <w:r w:rsidR="001C0F4A" w:rsidRPr="0067075A">
              <w:rPr>
                <w:rFonts w:ascii="Calibri" w:eastAsia="Calibri" w:hAnsi="Calibri" w:cs="Calibri"/>
                <w:sz w:val="24"/>
                <w:szCs w:val="24"/>
              </w:rPr>
              <w:t>including the managed approach to the Hallam Alliance.</w:t>
            </w:r>
            <w:r w:rsidR="00CE58B2" w:rsidRPr="0067075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7075A" w:rsidRPr="0067075A">
              <w:rPr>
                <w:rFonts w:ascii="Calibri" w:eastAsia="Calibri" w:hAnsi="Calibri" w:cs="Calibri"/>
                <w:sz w:val="24"/>
                <w:szCs w:val="24"/>
              </w:rPr>
              <w:t xml:space="preserve">FEC </w:t>
            </w:r>
            <w:r w:rsidR="0067075A" w:rsidRPr="0067075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considered the developments which the University was committed to delivering over the next two years</w:t>
            </w:r>
            <w:r w:rsidR="0067075A">
              <w:rPr>
                <w:rFonts w:ascii="Calibri" w:eastAsia="Calibri" w:hAnsi="Calibri" w:cs="Calibri"/>
                <w:sz w:val="24"/>
                <w:szCs w:val="24"/>
              </w:rPr>
              <w:t>, including</w:t>
            </w:r>
            <w:r w:rsidR="00D46D6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A3C131B" w14:textId="0EAD1002" w:rsidR="001B5FBA" w:rsidRDefault="0067075A" w:rsidP="005A028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>works</w:t>
            </w:r>
            <w:r w:rsidR="00030F68" w:rsidRPr="001B5FBA">
              <w:rPr>
                <w:sz w:val="24"/>
                <w:szCs w:val="24"/>
              </w:rPr>
              <w:t xml:space="preserve"> (on a reduced scale)</w:t>
            </w:r>
            <w:r w:rsidRPr="001B5FBA">
              <w:rPr>
                <w:sz w:val="24"/>
                <w:szCs w:val="24"/>
              </w:rPr>
              <w:t xml:space="preserve"> to consolidate occupancy at Collegiate over 2024/25 and 2025/26 to improve the accommodation for Health</w:t>
            </w:r>
            <w:r w:rsidR="001B5FBA">
              <w:rPr>
                <w:sz w:val="24"/>
                <w:szCs w:val="24"/>
              </w:rPr>
              <w:t>. A confidential minute was recorded.</w:t>
            </w:r>
          </w:p>
          <w:p w14:paraId="4E1489D7" w14:textId="1275549F" w:rsidR="0067075A" w:rsidRPr="001B5FBA" w:rsidRDefault="00DA56D3" w:rsidP="005A028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>w</w:t>
            </w:r>
            <w:r w:rsidR="0067075A" w:rsidRPr="001B5FBA">
              <w:rPr>
                <w:sz w:val="24"/>
                <w:szCs w:val="24"/>
              </w:rPr>
              <w:t>orks to Adsetts Library to facilitate the move of the Department</w:t>
            </w:r>
            <w:r w:rsidRPr="001B5FBA">
              <w:rPr>
                <w:sz w:val="24"/>
                <w:szCs w:val="24"/>
              </w:rPr>
              <w:t>s</w:t>
            </w:r>
            <w:r w:rsidR="0067075A" w:rsidRPr="001B5FBA">
              <w:rPr>
                <w:sz w:val="24"/>
                <w:szCs w:val="24"/>
              </w:rPr>
              <w:t xml:space="preserve"> of Law </w:t>
            </w:r>
            <w:r w:rsidRPr="001B5FBA">
              <w:rPr>
                <w:sz w:val="24"/>
                <w:szCs w:val="24"/>
              </w:rPr>
              <w:t>&amp;</w:t>
            </w:r>
            <w:r w:rsidR="0067075A" w:rsidRPr="001B5FBA">
              <w:rPr>
                <w:sz w:val="24"/>
                <w:szCs w:val="24"/>
              </w:rPr>
              <w:t xml:space="preserve"> Criminology </w:t>
            </w:r>
            <w:r w:rsidR="00623CF5" w:rsidRPr="001B5FBA">
              <w:rPr>
                <w:sz w:val="24"/>
                <w:szCs w:val="24"/>
              </w:rPr>
              <w:t xml:space="preserve">(DLC) </w:t>
            </w:r>
            <w:r w:rsidR="0067075A" w:rsidRPr="001B5FBA">
              <w:rPr>
                <w:sz w:val="24"/>
                <w:szCs w:val="24"/>
              </w:rPr>
              <w:t xml:space="preserve">and Psychology, Sociology </w:t>
            </w:r>
            <w:r w:rsidRPr="001B5FBA">
              <w:rPr>
                <w:sz w:val="24"/>
                <w:szCs w:val="24"/>
              </w:rPr>
              <w:t>&amp;</w:t>
            </w:r>
            <w:r w:rsidR="0067075A" w:rsidRPr="001B5FBA">
              <w:rPr>
                <w:sz w:val="24"/>
                <w:szCs w:val="24"/>
              </w:rPr>
              <w:t xml:space="preserve"> Politics</w:t>
            </w:r>
            <w:r w:rsidR="00623CF5" w:rsidRPr="001B5FBA">
              <w:rPr>
                <w:sz w:val="24"/>
                <w:szCs w:val="24"/>
              </w:rPr>
              <w:t xml:space="preserve"> (PSP)</w:t>
            </w:r>
            <w:r w:rsidR="0067075A" w:rsidRPr="001B5FBA">
              <w:rPr>
                <w:sz w:val="24"/>
                <w:szCs w:val="24"/>
              </w:rPr>
              <w:t xml:space="preserve"> collections from Collegiate to City Campus in 2024; </w:t>
            </w:r>
          </w:p>
          <w:p w14:paraId="04F8ECD4" w14:textId="77777777" w:rsidR="0067075A" w:rsidRPr="003923F1" w:rsidRDefault="0067075A" w:rsidP="005A028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3923F1">
              <w:rPr>
                <w:sz w:val="24"/>
                <w:szCs w:val="24"/>
              </w:rPr>
              <w:t xml:space="preserve">relocation </w:t>
            </w:r>
            <w:r>
              <w:rPr>
                <w:sz w:val="24"/>
                <w:szCs w:val="24"/>
              </w:rPr>
              <w:t xml:space="preserve">of the </w:t>
            </w:r>
            <w:r w:rsidRPr="003923F1">
              <w:rPr>
                <w:sz w:val="24"/>
                <w:szCs w:val="24"/>
              </w:rPr>
              <w:t xml:space="preserve">Employability Service to Owen level 2 </w:t>
            </w:r>
            <w:r>
              <w:rPr>
                <w:sz w:val="24"/>
                <w:szCs w:val="24"/>
              </w:rPr>
              <w:t xml:space="preserve">in </w:t>
            </w:r>
            <w:r w:rsidRPr="003923F1">
              <w:rPr>
                <w:sz w:val="24"/>
                <w:szCs w:val="24"/>
              </w:rPr>
              <w:t>summer 2024 to enable the Students’ Union</w:t>
            </w:r>
            <w:r>
              <w:rPr>
                <w:sz w:val="24"/>
                <w:szCs w:val="24"/>
              </w:rPr>
              <w:t xml:space="preserve"> to vacate </w:t>
            </w:r>
            <w:r w:rsidRPr="003923F1">
              <w:rPr>
                <w:sz w:val="24"/>
                <w:szCs w:val="24"/>
              </w:rPr>
              <w:t>the Hubs building</w:t>
            </w:r>
            <w:r>
              <w:rPr>
                <w:sz w:val="24"/>
                <w:szCs w:val="24"/>
              </w:rPr>
              <w:t>;</w:t>
            </w:r>
            <w:r w:rsidRPr="003923F1">
              <w:rPr>
                <w:sz w:val="24"/>
                <w:szCs w:val="24"/>
              </w:rPr>
              <w:t xml:space="preserve"> </w:t>
            </w:r>
          </w:p>
          <w:p w14:paraId="55956CD2" w14:textId="77777777" w:rsidR="0067075A" w:rsidRPr="005A0287" w:rsidRDefault="0067075A" w:rsidP="005A028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3923F1">
              <w:rPr>
                <w:sz w:val="24"/>
                <w:szCs w:val="24"/>
              </w:rPr>
              <w:t>Students’ Union relocation to the Careers Connect building around November 2024</w:t>
            </w:r>
            <w:r>
              <w:rPr>
                <w:sz w:val="24"/>
                <w:szCs w:val="24"/>
              </w:rPr>
              <w:t>; and</w:t>
            </w:r>
          </w:p>
          <w:p w14:paraId="58158F8F" w14:textId="157D17B5" w:rsidR="001C0F4A" w:rsidRPr="0018252C" w:rsidRDefault="0067075A" w:rsidP="005A028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3923F1">
              <w:rPr>
                <w:sz w:val="24"/>
                <w:szCs w:val="24"/>
              </w:rPr>
              <w:t>the fit-out costs of the new</w:t>
            </w:r>
            <w:r>
              <w:rPr>
                <w:sz w:val="24"/>
                <w:szCs w:val="24"/>
              </w:rPr>
              <w:t xml:space="preserve"> London</w:t>
            </w:r>
            <w:r w:rsidRPr="00392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Campus </w:t>
            </w:r>
            <w:r w:rsidRPr="003923F1">
              <w:rPr>
                <w:sz w:val="24"/>
                <w:szCs w:val="24"/>
              </w:rPr>
              <w:t>building.</w:t>
            </w:r>
          </w:p>
        </w:tc>
      </w:tr>
      <w:tr w:rsidR="0067075A" w:rsidRPr="008A753B" w14:paraId="37BE494E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744DD760" w14:textId="297E9486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732AB81B" w14:textId="724C3713" w:rsidR="0067075A" w:rsidRPr="00162676" w:rsidRDefault="00736804" w:rsidP="0067075A">
            <w:pPr>
              <w:pStyle w:val="Heading2"/>
              <w:contextualSpacing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FEC considered</w:t>
            </w:r>
            <w:r w:rsidR="0067075A">
              <w:rPr>
                <w:b w:val="0"/>
                <w:bCs/>
                <w:szCs w:val="24"/>
              </w:rPr>
              <w:t xml:space="preserve"> the k</w:t>
            </w:r>
            <w:r w:rsidR="0067075A" w:rsidRPr="00162676">
              <w:rPr>
                <w:b w:val="0"/>
                <w:bCs/>
                <w:szCs w:val="24"/>
              </w:rPr>
              <w:t>ey</w:t>
            </w:r>
            <w:r w:rsidR="0067075A">
              <w:rPr>
                <w:b w:val="0"/>
                <w:bCs/>
                <w:szCs w:val="24"/>
              </w:rPr>
              <w:t xml:space="preserve"> areas which represented</w:t>
            </w:r>
            <w:r w:rsidR="0067075A" w:rsidRPr="00CE58B2">
              <w:rPr>
                <w:b w:val="0"/>
                <w:bCs/>
                <w:szCs w:val="24"/>
              </w:rPr>
              <w:t xml:space="preserve"> a d</w:t>
            </w:r>
            <w:r w:rsidR="0067075A" w:rsidRPr="00CE58B2">
              <w:rPr>
                <w:rFonts w:eastAsia="Calibri" w:cs="Calibri"/>
                <w:b w:val="0"/>
                <w:bCs/>
                <w:szCs w:val="24"/>
              </w:rPr>
              <w:t>eparture from</w:t>
            </w:r>
            <w:r w:rsidR="0067075A">
              <w:rPr>
                <w:rFonts w:eastAsia="Calibri" w:cs="Calibri"/>
                <w:b w:val="0"/>
                <w:bCs/>
                <w:szCs w:val="24"/>
              </w:rPr>
              <w:t xml:space="preserve"> the</w:t>
            </w:r>
            <w:r w:rsidR="0067075A" w:rsidRPr="00CE58B2">
              <w:rPr>
                <w:rFonts w:eastAsia="Calibri" w:cs="Calibri"/>
                <w:b w:val="0"/>
                <w:bCs/>
                <w:szCs w:val="24"/>
              </w:rPr>
              <w:t xml:space="preserve"> approach </w:t>
            </w:r>
            <w:r w:rsidR="0067075A" w:rsidRPr="00CE58B2">
              <w:rPr>
                <w:b w:val="0"/>
                <w:bCs/>
                <w:szCs w:val="24"/>
              </w:rPr>
              <w:t>to</w:t>
            </w:r>
            <w:r w:rsidR="0067075A">
              <w:rPr>
                <w:b w:val="0"/>
                <w:bCs/>
                <w:szCs w:val="24"/>
              </w:rPr>
              <w:t xml:space="preserve"> </w:t>
            </w:r>
            <w:r w:rsidR="0067075A" w:rsidRPr="00CE58B2">
              <w:rPr>
                <w:b w:val="0"/>
                <w:bCs/>
                <w:szCs w:val="24"/>
              </w:rPr>
              <w:t>the draft Campus Plan</w:t>
            </w:r>
            <w:r w:rsidR="0067075A" w:rsidRPr="00CE58B2">
              <w:rPr>
                <w:rFonts w:eastAsia="Calibri" w:cs="Calibri"/>
                <w:b w:val="0"/>
                <w:bCs/>
                <w:szCs w:val="24"/>
              </w:rPr>
              <w:t xml:space="preserve"> </w:t>
            </w:r>
            <w:r w:rsidR="0067075A">
              <w:rPr>
                <w:rFonts w:eastAsia="Calibri" w:cs="Calibri"/>
                <w:b w:val="0"/>
                <w:bCs/>
                <w:szCs w:val="24"/>
              </w:rPr>
              <w:t xml:space="preserve">presented to the Committee </w:t>
            </w:r>
            <w:r w:rsidR="0067075A" w:rsidRPr="00CE58B2">
              <w:rPr>
                <w:rFonts w:eastAsia="Calibri" w:cs="Calibri"/>
                <w:b w:val="0"/>
                <w:bCs/>
                <w:szCs w:val="24"/>
              </w:rPr>
              <w:t>in September,</w:t>
            </w:r>
            <w:r w:rsidR="0067075A" w:rsidRPr="00CE58B2">
              <w:rPr>
                <w:b w:val="0"/>
                <w:bCs/>
                <w:szCs w:val="24"/>
              </w:rPr>
              <w:t xml:space="preserve"> including:</w:t>
            </w:r>
          </w:p>
          <w:p w14:paraId="48E5DA32" w14:textId="14D955E4" w:rsidR="0067075A" w:rsidRPr="00736804" w:rsidRDefault="0067075A" w:rsidP="00A7297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bCs/>
                <w:szCs w:val="24"/>
              </w:rPr>
            </w:pPr>
            <w:r w:rsidRPr="00736804">
              <w:rPr>
                <w:bCs/>
                <w:sz w:val="24"/>
                <w:szCs w:val="24"/>
              </w:rPr>
              <w:t xml:space="preserve">the deferral of major refurbishment works to Stoddart due to </w:t>
            </w:r>
            <w:r w:rsidR="00DA56D3" w:rsidRPr="00736804">
              <w:rPr>
                <w:bCs/>
                <w:sz w:val="24"/>
                <w:szCs w:val="24"/>
              </w:rPr>
              <w:t xml:space="preserve">available </w:t>
            </w:r>
            <w:r w:rsidRPr="00736804">
              <w:rPr>
                <w:bCs/>
                <w:sz w:val="24"/>
                <w:szCs w:val="24"/>
              </w:rPr>
              <w:t>capital</w:t>
            </w:r>
            <w:r w:rsidR="00030F68" w:rsidRPr="00736804">
              <w:rPr>
                <w:bCs/>
                <w:sz w:val="24"/>
                <w:szCs w:val="24"/>
              </w:rPr>
              <w:t xml:space="preserve">; </w:t>
            </w:r>
            <w:r w:rsidR="001B5FBA">
              <w:rPr>
                <w:bCs/>
                <w:sz w:val="24"/>
                <w:szCs w:val="24"/>
              </w:rPr>
              <w:t>a confidential minute was recorded.</w:t>
            </w:r>
          </w:p>
          <w:p w14:paraId="34F089B4" w14:textId="7306ED39" w:rsidR="0067075A" w:rsidRPr="00736804" w:rsidRDefault="0067075A" w:rsidP="00A7297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736804">
              <w:rPr>
                <w:bCs/>
                <w:sz w:val="24"/>
                <w:szCs w:val="24"/>
              </w:rPr>
              <w:t xml:space="preserve">the deferral of works to the Owen façade following the outcome of a feasibility exercise which had returned a significantly higher cost than anticipated. Work </w:t>
            </w:r>
            <w:r w:rsidR="00736804" w:rsidRPr="00736804">
              <w:rPr>
                <w:bCs/>
                <w:sz w:val="24"/>
                <w:szCs w:val="24"/>
              </w:rPr>
              <w:t xml:space="preserve">to </w:t>
            </w:r>
            <w:r w:rsidRPr="00736804">
              <w:rPr>
                <w:bCs/>
                <w:sz w:val="24"/>
                <w:szCs w:val="24"/>
              </w:rPr>
              <w:t xml:space="preserve">better understand </w:t>
            </w:r>
            <w:r w:rsidR="00736804" w:rsidRPr="00736804">
              <w:rPr>
                <w:bCs/>
                <w:sz w:val="24"/>
                <w:szCs w:val="24"/>
              </w:rPr>
              <w:t>the life of the</w:t>
            </w:r>
            <w:r w:rsidRPr="00736804">
              <w:rPr>
                <w:bCs/>
                <w:sz w:val="24"/>
                <w:szCs w:val="24"/>
              </w:rPr>
              <w:t xml:space="preserve"> current façade with careful management</w:t>
            </w:r>
            <w:r w:rsidR="00736804" w:rsidRPr="00736804">
              <w:rPr>
                <w:bCs/>
                <w:sz w:val="24"/>
                <w:szCs w:val="24"/>
              </w:rPr>
              <w:t xml:space="preserve"> was ongoing</w:t>
            </w:r>
            <w:r w:rsidRPr="00736804">
              <w:rPr>
                <w:bCs/>
                <w:sz w:val="24"/>
                <w:szCs w:val="24"/>
              </w:rPr>
              <w:t xml:space="preserve"> and future proposals for </w:t>
            </w:r>
            <w:r w:rsidR="00DA56D3" w:rsidRPr="00736804">
              <w:rPr>
                <w:bCs/>
                <w:sz w:val="24"/>
                <w:szCs w:val="24"/>
              </w:rPr>
              <w:t>the building</w:t>
            </w:r>
            <w:r w:rsidRPr="00736804">
              <w:rPr>
                <w:bCs/>
                <w:sz w:val="24"/>
                <w:szCs w:val="24"/>
              </w:rPr>
              <w:t xml:space="preserve"> would be presented at a subsequent meeting</w:t>
            </w:r>
            <w:r w:rsidR="00736804" w:rsidRPr="00736804">
              <w:rPr>
                <w:bCs/>
                <w:sz w:val="24"/>
                <w:szCs w:val="24"/>
              </w:rPr>
              <w:t>;</w:t>
            </w:r>
          </w:p>
          <w:p w14:paraId="0ADF9A8E" w14:textId="179B6DA2" w:rsidR="0067075A" w:rsidRPr="00736804" w:rsidRDefault="00030F68" w:rsidP="00A7297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736804">
              <w:rPr>
                <w:sz w:val="24"/>
                <w:szCs w:val="24"/>
              </w:rPr>
              <w:t>the</w:t>
            </w:r>
            <w:r w:rsidR="0067075A" w:rsidRPr="00736804">
              <w:rPr>
                <w:sz w:val="24"/>
                <w:szCs w:val="24"/>
              </w:rPr>
              <w:t xml:space="preserve"> reduced budget for improvements at Collegiate Campus</w:t>
            </w:r>
            <w:r w:rsidRPr="00736804">
              <w:rPr>
                <w:sz w:val="24"/>
                <w:szCs w:val="24"/>
              </w:rPr>
              <w:t xml:space="preserve"> as outlined above;</w:t>
            </w:r>
          </w:p>
          <w:p w14:paraId="3F38FD19" w14:textId="6FD286D7" w:rsidR="0067075A" w:rsidRPr="00736804" w:rsidRDefault="0067075A" w:rsidP="00A7297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736804">
              <w:rPr>
                <w:rFonts w:ascii="Calibri" w:eastAsia="Calibri" w:hAnsi="Calibri" w:cs="Calibri"/>
                <w:sz w:val="24"/>
                <w:szCs w:val="24"/>
              </w:rPr>
              <w:t>retention of Surrey and Howard Buildings for the medium</w:t>
            </w:r>
            <w:r w:rsidR="00030F68" w:rsidRPr="00736804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r w:rsidRPr="00736804">
              <w:rPr>
                <w:rFonts w:ascii="Calibri" w:eastAsia="Calibri" w:hAnsi="Calibri" w:cs="Calibri"/>
                <w:sz w:val="24"/>
                <w:szCs w:val="24"/>
              </w:rPr>
              <w:t>long term</w:t>
            </w:r>
            <w:r w:rsidR="00030F68" w:rsidRPr="00736804">
              <w:rPr>
                <w:rFonts w:ascii="Calibri" w:eastAsia="Calibri" w:hAnsi="Calibri" w:cs="Calibri"/>
                <w:sz w:val="24"/>
                <w:szCs w:val="24"/>
              </w:rPr>
              <w:t xml:space="preserve">; and </w:t>
            </w:r>
          </w:p>
          <w:p w14:paraId="694C8604" w14:textId="6BC79991" w:rsidR="0067075A" w:rsidRPr="00030F68" w:rsidRDefault="000E5668" w:rsidP="00A72977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736804">
              <w:rPr>
                <w:sz w:val="24"/>
                <w:szCs w:val="24"/>
              </w:rPr>
              <w:t>the removal of the Cantor contingency provision, as well as some minor aesthetic works across both Collegiate and City Campus</w:t>
            </w:r>
            <w:r w:rsidR="002F5455">
              <w:rPr>
                <w:sz w:val="24"/>
                <w:szCs w:val="24"/>
              </w:rPr>
              <w:t>,</w:t>
            </w:r>
            <w:r w:rsidR="00030F68" w:rsidRPr="00736804">
              <w:rPr>
                <w:sz w:val="24"/>
                <w:szCs w:val="24"/>
              </w:rPr>
              <w:t xml:space="preserve"> and </w:t>
            </w:r>
            <w:r w:rsidR="0067075A" w:rsidRPr="00736804">
              <w:rPr>
                <w:sz w:val="24"/>
                <w:szCs w:val="24"/>
              </w:rPr>
              <w:t xml:space="preserve">the deferral of refurbishment works to the Harmer </w:t>
            </w:r>
            <w:r w:rsidR="00030F68" w:rsidRPr="00736804">
              <w:rPr>
                <w:sz w:val="24"/>
                <w:szCs w:val="24"/>
              </w:rPr>
              <w:t>building.</w:t>
            </w:r>
          </w:p>
        </w:tc>
      </w:tr>
      <w:tr w:rsidR="00030F68" w:rsidRPr="008A753B" w14:paraId="729A6DE4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7B26754C" w14:textId="1E45CEC7" w:rsidR="00030F68" w:rsidRDefault="00030F68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D6EE6D7" w14:textId="450A6294" w:rsidR="00030F68" w:rsidRPr="00030F68" w:rsidRDefault="001B5FBA" w:rsidP="002C4653">
            <w:pPr>
              <w:spacing w:before="60" w:after="60"/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E3316D" w:rsidRPr="008A753B" w14:paraId="0CA8E05F" w14:textId="77777777" w:rsidTr="00E3316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8D8B8AE" w14:textId="5DA107ED" w:rsidR="00E3316D" w:rsidRDefault="00E3316D" w:rsidP="003A4A8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934C9" w14:textId="635B453D" w:rsidR="00E3316D" w:rsidRDefault="002D0EB8" w:rsidP="00522E39">
            <w:pPr>
              <w:pStyle w:val="Heading2"/>
              <w:contextualSpacing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The Committee</w:t>
            </w:r>
            <w:r w:rsidR="00A94A03" w:rsidRPr="00522E39">
              <w:rPr>
                <w:b w:val="0"/>
                <w:bCs/>
                <w:szCs w:val="24"/>
              </w:rPr>
              <w:t xml:space="preserve"> received an update on progress with</w:t>
            </w:r>
            <w:r w:rsidR="00E3316D" w:rsidRPr="00522E39">
              <w:rPr>
                <w:b w:val="0"/>
                <w:bCs/>
                <w:szCs w:val="24"/>
              </w:rPr>
              <w:t xml:space="preserve"> the Howard Street Development</w:t>
            </w:r>
            <w:r w:rsidR="00736804">
              <w:rPr>
                <w:b w:val="0"/>
                <w:bCs/>
                <w:szCs w:val="24"/>
              </w:rPr>
              <w:t>. D</w:t>
            </w:r>
            <w:r w:rsidR="00A94A03" w:rsidRPr="00522E39">
              <w:rPr>
                <w:b w:val="0"/>
                <w:bCs/>
                <w:szCs w:val="24"/>
              </w:rPr>
              <w:t>ue to the exceptionally bad weather over the winter</w:t>
            </w:r>
            <w:r w:rsidR="00E436A3">
              <w:rPr>
                <w:b w:val="0"/>
                <w:bCs/>
                <w:szCs w:val="24"/>
              </w:rPr>
              <w:t xml:space="preserve">, </w:t>
            </w:r>
            <w:r w:rsidR="00736804">
              <w:rPr>
                <w:b w:val="0"/>
                <w:bCs/>
                <w:szCs w:val="24"/>
              </w:rPr>
              <w:t xml:space="preserve">there was a </w:t>
            </w:r>
            <w:r w:rsidR="00522E39" w:rsidRPr="00522E39">
              <w:rPr>
                <w:b w:val="0"/>
                <w:bCs/>
                <w:szCs w:val="24"/>
              </w:rPr>
              <w:t xml:space="preserve">risk </w:t>
            </w:r>
            <w:r w:rsidR="00736804">
              <w:rPr>
                <w:b w:val="0"/>
                <w:bCs/>
                <w:szCs w:val="24"/>
              </w:rPr>
              <w:t>that s</w:t>
            </w:r>
            <w:r w:rsidR="00E436A3">
              <w:rPr>
                <w:b w:val="0"/>
                <w:bCs/>
                <w:szCs w:val="24"/>
              </w:rPr>
              <w:t>everal</w:t>
            </w:r>
            <w:r w:rsidR="00736804">
              <w:rPr>
                <w:b w:val="0"/>
                <w:bCs/>
                <w:szCs w:val="24"/>
              </w:rPr>
              <w:t xml:space="preserve"> buildings</w:t>
            </w:r>
            <w:r w:rsidR="00E3316D" w:rsidRPr="00522E39">
              <w:rPr>
                <w:b w:val="0"/>
                <w:bCs/>
                <w:szCs w:val="24"/>
              </w:rPr>
              <w:t xml:space="preserve"> </w:t>
            </w:r>
            <w:r w:rsidR="00522E39" w:rsidRPr="00522E39">
              <w:rPr>
                <w:b w:val="0"/>
                <w:bCs/>
                <w:szCs w:val="24"/>
              </w:rPr>
              <w:t>would not be</w:t>
            </w:r>
            <w:r w:rsidR="00736804">
              <w:rPr>
                <w:b w:val="0"/>
                <w:bCs/>
                <w:szCs w:val="24"/>
              </w:rPr>
              <w:t xml:space="preserve"> available for </w:t>
            </w:r>
            <w:r w:rsidR="00E3316D" w:rsidRPr="00522E39">
              <w:rPr>
                <w:b w:val="0"/>
                <w:bCs/>
                <w:szCs w:val="24"/>
              </w:rPr>
              <w:t xml:space="preserve">the start of the 2024/25 academic year. </w:t>
            </w:r>
            <w:r w:rsidR="00522E39" w:rsidRPr="00522E39">
              <w:rPr>
                <w:b w:val="0"/>
                <w:bCs/>
                <w:szCs w:val="24"/>
              </w:rPr>
              <w:t>Rather than drive towards occupation in Septe</w:t>
            </w:r>
            <w:r w:rsidR="00736804">
              <w:rPr>
                <w:b w:val="0"/>
                <w:bCs/>
                <w:szCs w:val="24"/>
              </w:rPr>
              <w:t>m</w:t>
            </w:r>
            <w:r w:rsidR="00522E39" w:rsidRPr="00522E39">
              <w:rPr>
                <w:b w:val="0"/>
                <w:bCs/>
                <w:szCs w:val="24"/>
              </w:rPr>
              <w:t>ber</w:t>
            </w:r>
            <w:r>
              <w:rPr>
                <w:b w:val="0"/>
                <w:bCs/>
                <w:szCs w:val="24"/>
              </w:rPr>
              <w:t>,</w:t>
            </w:r>
            <w:r w:rsidR="00522E39" w:rsidRPr="00522E39">
              <w:rPr>
                <w:b w:val="0"/>
                <w:bCs/>
                <w:szCs w:val="24"/>
              </w:rPr>
              <w:t xml:space="preserve"> which may lead</w:t>
            </w:r>
            <w:r w:rsidR="00E3316D" w:rsidRPr="00522E39">
              <w:rPr>
                <w:b w:val="0"/>
                <w:bCs/>
                <w:szCs w:val="24"/>
              </w:rPr>
              <w:t xml:space="preserve"> to quality issues and poor end user experience</w:t>
            </w:r>
            <w:r w:rsidR="00522E39" w:rsidRPr="00522E39">
              <w:rPr>
                <w:b w:val="0"/>
                <w:bCs/>
                <w:szCs w:val="24"/>
              </w:rPr>
              <w:t xml:space="preserve">, a phased approach </w:t>
            </w:r>
            <w:r w:rsidR="00736804">
              <w:rPr>
                <w:b w:val="0"/>
                <w:bCs/>
                <w:szCs w:val="24"/>
              </w:rPr>
              <w:t>had been agreed by UEB.</w:t>
            </w:r>
            <w:r w:rsidR="00522E39" w:rsidRPr="00522E39">
              <w:rPr>
                <w:b w:val="0"/>
                <w:bCs/>
                <w:szCs w:val="24"/>
              </w:rPr>
              <w:t xml:space="preserve"> Block B/C would be </w:t>
            </w:r>
            <w:r w:rsidR="001C2830">
              <w:rPr>
                <w:b w:val="0"/>
                <w:bCs/>
                <w:szCs w:val="24"/>
              </w:rPr>
              <w:t>available for</w:t>
            </w:r>
            <w:r w:rsidR="00522E39" w:rsidRPr="00522E39">
              <w:rPr>
                <w:b w:val="0"/>
                <w:bCs/>
                <w:szCs w:val="24"/>
              </w:rPr>
              <w:t xml:space="preserve"> the Institute of Technology</w:t>
            </w:r>
            <w:r>
              <w:rPr>
                <w:b w:val="0"/>
                <w:bCs/>
                <w:szCs w:val="24"/>
              </w:rPr>
              <w:t xml:space="preserve"> </w:t>
            </w:r>
            <w:r w:rsidR="00522E39" w:rsidRPr="00522E39">
              <w:rPr>
                <w:b w:val="0"/>
                <w:bCs/>
                <w:szCs w:val="24"/>
              </w:rPr>
              <w:t xml:space="preserve">and general teaching from the start of Semester One.  </w:t>
            </w:r>
            <w:r w:rsidR="001C2830">
              <w:rPr>
                <w:b w:val="0"/>
                <w:bCs/>
                <w:szCs w:val="24"/>
              </w:rPr>
              <w:t xml:space="preserve">Teaching in </w:t>
            </w:r>
            <w:r w:rsidR="00736804">
              <w:rPr>
                <w:b w:val="0"/>
                <w:bCs/>
                <w:szCs w:val="24"/>
              </w:rPr>
              <w:t>B</w:t>
            </w:r>
            <w:r w:rsidR="001C2830">
              <w:rPr>
                <w:b w:val="0"/>
                <w:bCs/>
                <w:szCs w:val="24"/>
              </w:rPr>
              <w:t xml:space="preserve">locks A and D would commence </w:t>
            </w:r>
            <w:r w:rsidR="00736804">
              <w:rPr>
                <w:b w:val="0"/>
                <w:bCs/>
                <w:szCs w:val="24"/>
              </w:rPr>
              <w:t>in</w:t>
            </w:r>
            <w:r w:rsidR="001C2830">
              <w:rPr>
                <w:b w:val="0"/>
                <w:bCs/>
                <w:szCs w:val="24"/>
              </w:rPr>
              <w:t xml:space="preserve"> Semester Two</w:t>
            </w:r>
            <w:r w:rsidR="00736804">
              <w:rPr>
                <w:b w:val="0"/>
                <w:bCs/>
                <w:szCs w:val="24"/>
              </w:rPr>
              <w:t>,</w:t>
            </w:r>
            <w:r w:rsidR="001C2830">
              <w:rPr>
                <w:b w:val="0"/>
                <w:bCs/>
                <w:szCs w:val="24"/>
              </w:rPr>
              <w:t xml:space="preserve"> meaning</w:t>
            </w:r>
            <w:r w:rsidR="00736804">
              <w:rPr>
                <w:b w:val="0"/>
                <w:bCs/>
                <w:szCs w:val="24"/>
              </w:rPr>
              <w:t xml:space="preserve"> that</w:t>
            </w:r>
            <w:r w:rsidR="001C2830">
              <w:rPr>
                <w:b w:val="0"/>
                <w:bCs/>
                <w:szCs w:val="24"/>
              </w:rPr>
              <w:t xml:space="preserve"> </w:t>
            </w:r>
            <w:r w:rsidR="001C2830" w:rsidRPr="001C2830">
              <w:rPr>
                <w:b w:val="0"/>
                <w:bCs/>
                <w:szCs w:val="24"/>
              </w:rPr>
              <w:t>DLC and PSP</w:t>
            </w:r>
            <w:r w:rsidR="00522E39" w:rsidRPr="001C2830">
              <w:rPr>
                <w:b w:val="0"/>
                <w:bCs/>
                <w:szCs w:val="24"/>
              </w:rPr>
              <w:t xml:space="preserve"> </w:t>
            </w:r>
            <w:r w:rsidR="001C2830" w:rsidRPr="001C2830">
              <w:rPr>
                <w:b w:val="0"/>
                <w:bCs/>
                <w:szCs w:val="24"/>
              </w:rPr>
              <w:t xml:space="preserve">would remain at </w:t>
            </w:r>
            <w:r w:rsidR="00522E39" w:rsidRPr="001C2830">
              <w:rPr>
                <w:b w:val="0"/>
                <w:bCs/>
                <w:szCs w:val="24"/>
              </w:rPr>
              <w:t>Collegiate</w:t>
            </w:r>
            <w:r w:rsidR="001C2830" w:rsidRPr="001C2830">
              <w:rPr>
                <w:b w:val="0"/>
                <w:bCs/>
                <w:szCs w:val="24"/>
              </w:rPr>
              <w:t xml:space="preserve"> for most of Semester One so as not to disrupt </w:t>
            </w:r>
            <w:r w:rsidR="00C348E2" w:rsidRPr="001C2830">
              <w:rPr>
                <w:b w:val="0"/>
                <w:bCs/>
                <w:szCs w:val="24"/>
              </w:rPr>
              <w:t>students part way through the term</w:t>
            </w:r>
            <w:r w:rsidR="001C2830" w:rsidRPr="001C2830">
              <w:rPr>
                <w:b w:val="0"/>
                <w:bCs/>
                <w:szCs w:val="24"/>
              </w:rPr>
              <w:t>.</w:t>
            </w:r>
          </w:p>
          <w:p w14:paraId="45D4B823" w14:textId="7BBADA14" w:rsidR="0075520D" w:rsidRPr="0075520D" w:rsidRDefault="0075520D" w:rsidP="0075520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also noted that options in relation to the catering strategy for the new buildings were being explored</w:t>
            </w:r>
            <w:r w:rsidR="001B5FBA">
              <w:rPr>
                <w:sz w:val="24"/>
                <w:szCs w:val="24"/>
              </w:rPr>
              <w:t>. A confidential minute was recorded.</w:t>
            </w:r>
          </w:p>
        </w:tc>
      </w:tr>
      <w:tr w:rsidR="0067075A" w:rsidRPr="008A753B" w14:paraId="5EC0B692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35DB8BF3" w14:textId="49D60194" w:rsidR="0067075A" w:rsidRDefault="00030F68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E3316D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CED4131" w14:textId="1B3A0CD9" w:rsidR="0067075A" w:rsidRDefault="00E3316D" w:rsidP="0067075A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 agreed that the proposals for developing the Campus Plan </w:t>
            </w:r>
            <w:r w:rsidR="002D0EB8">
              <w:rPr>
                <w:sz w:val="24"/>
                <w:szCs w:val="24"/>
              </w:rPr>
              <w:t>were sensible and</w:t>
            </w:r>
            <w:r w:rsidR="00736804">
              <w:rPr>
                <w:sz w:val="24"/>
                <w:szCs w:val="24"/>
              </w:rPr>
              <w:t xml:space="preserve"> in line with the MTFS.</w:t>
            </w:r>
          </w:p>
          <w:p w14:paraId="4AB7B627" w14:textId="75DAC4C3" w:rsidR="00522E39" w:rsidRPr="00C673DC" w:rsidRDefault="00522E39" w:rsidP="0067075A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member’s question on the </w:t>
            </w:r>
            <w:r w:rsidR="00736804">
              <w:rPr>
                <w:sz w:val="24"/>
                <w:szCs w:val="24"/>
              </w:rPr>
              <w:t xml:space="preserve">provision for the </w:t>
            </w:r>
            <w:r>
              <w:rPr>
                <w:sz w:val="24"/>
                <w:szCs w:val="24"/>
              </w:rPr>
              <w:t>London Campus, it was reported that</w:t>
            </w:r>
            <w:r w:rsidR="007368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36804">
              <w:rPr>
                <w:sz w:val="24"/>
                <w:szCs w:val="24"/>
              </w:rPr>
              <w:t>due to the fit-out nature of the works,</w:t>
            </w:r>
            <w:r>
              <w:rPr>
                <w:sz w:val="24"/>
                <w:szCs w:val="24"/>
              </w:rPr>
              <w:t xml:space="preserve"> greater</w:t>
            </w:r>
            <w:r w:rsidR="00736804">
              <w:rPr>
                <w:sz w:val="24"/>
                <w:szCs w:val="24"/>
              </w:rPr>
              <w:t xml:space="preserve"> budgetary</w:t>
            </w:r>
            <w:r>
              <w:rPr>
                <w:sz w:val="24"/>
                <w:szCs w:val="24"/>
              </w:rPr>
              <w:t xml:space="preserve"> control </w:t>
            </w:r>
            <w:r w:rsidR="00736804">
              <w:rPr>
                <w:sz w:val="24"/>
                <w:szCs w:val="24"/>
              </w:rPr>
              <w:t>could be exercised.</w:t>
            </w:r>
            <w:r>
              <w:rPr>
                <w:sz w:val="24"/>
                <w:szCs w:val="24"/>
              </w:rPr>
              <w:t xml:space="preserve"> </w:t>
            </w:r>
          </w:p>
          <w:p w14:paraId="52C54A16" w14:textId="282C0B42" w:rsidR="00736804" w:rsidRDefault="00522E39" w:rsidP="00522E39">
            <w:pPr>
              <w:pStyle w:val="Heading2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Given the delay in </w:t>
            </w:r>
            <w:r w:rsidR="00736804">
              <w:rPr>
                <w:b w:val="0"/>
                <w:szCs w:val="24"/>
              </w:rPr>
              <w:t xml:space="preserve">relation to Blocks A and D, </w:t>
            </w:r>
            <w:r>
              <w:rPr>
                <w:b w:val="0"/>
                <w:szCs w:val="24"/>
              </w:rPr>
              <w:t xml:space="preserve">members queried </w:t>
            </w:r>
            <w:r w:rsidR="00736804">
              <w:rPr>
                <w:b w:val="0"/>
                <w:szCs w:val="24"/>
              </w:rPr>
              <w:t xml:space="preserve">the </w:t>
            </w:r>
            <w:r>
              <w:rPr>
                <w:b w:val="0"/>
                <w:szCs w:val="24"/>
              </w:rPr>
              <w:t>scope</w:t>
            </w:r>
          </w:p>
          <w:p w14:paraId="23226DB8" w14:textId="74DED4E9" w:rsidR="0067075A" w:rsidRDefault="00522E39" w:rsidP="0075520D">
            <w:pPr>
              <w:pStyle w:val="Heading2"/>
              <w:rPr>
                <w:szCs w:val="24"/>
              </w:rPr>
            </w:pPr>
            <w:r w:rsidRPr="00C348E2">
              <w:rPr>
                <w:b w:val="0"/>
                <w:szCs w:val="24"/>
              </w:rPr>
              <w:t>to enhance their external appearance</w:t>
            </w:r>
            <w:r w:rsidR="00736804">
              <w:rPr>
                <w:b w:val="0"/>
                <w:szCs w:val="24"/>
              </w:rPr>
              <w:t xml:space="preserve"> pending occupation</w:t>
            </w:r>
            <w:r w:rsidRPr="00C348E2">
              <w:rPr>
                <w:b w:val="0"/>
                <w:szCs w:val="24"/>
              </w:rPr>
              <w:t>. The GDSI&amp;C noted that the University was</w:t>
            </w:r>
            <w:r w:rsidR="0067075A" w:rsidRPr="00C348E2">
              <w:rPr>
                <w:b w:val="0"/>
                <w:szCs w:val="24"/>
              </w:rPr>
              <w:t xml:space="preserve"> keen to activate </w:t>
            </w:r>
            <w:r w:rsidRPr="00C348E2">
              <w:rPr>
                <w:b w:val="0"/>
                <w:szCs w:val="24"/>
              </w:rPr>
              <w:t>these</w:t>
            </w:r>
            <w:r w:rsidR="0067075A" w:rsidRPr="00C348E2">
              <w:rPr>
                <w:b w:val="0"/>
                <w:szCs w:val="24"/>
              </w:rPr>
              <w:t xml:space="preserve"> buildings a</w:t>
            </w:r>
            <w:r w:rsidRPr="00C348E2">
              <w:rPr>
                <w:b w:val="0"/>
                <w:szCs w:val="24"/>
              </w:rPr>
              <w:t>t the earliest opportunity and</w:t>
            </w:r>
            <w:r w:rsidR="005B08E2">
              <w:rPr>
                <w:b w:val="0"/>
                <w:szCs w:val="24"/>
              </w:rPr>
              <w:t xml:space="preserve"> ways to populate </w:t>
            </w:r>
            <w:r w:rsidRPr="00C348E2">
              <w:rPr>
                <w:b w:val="0"/>
                <w:szCs w:val="24"/>
              </w:rPr>
              <w:t xml:space="preserve">work, </w:t>
            </w:r>
            <w:r w:rsidR="005B08E2">
              <w:rPr>
                <w:b w:val="0"/>
                <w:szCs w:val="24"/>
              </w:rPr>
              <w:t>e</w:t>
            </w:r>
            <w:r w:rsidRPr="00C348E2">
              <w:rPr>
                <w:b w:val="0"/>
                <w:szCs w:val="24"/>
              </w:rPr>
              <w:t>vent</w:t>
            </w:r>
            <w:r w:rsidR="005B08E2">
              <w:rPr>
                <w:b w:val="0"/>
                <w:szCs w:val="24"/>
              </w:rPr>
              <w:t xml:space="preserve"> and research</w:t>
            </w:r>
            <w:r w:rsidRPr="00C348E2">
              <w:rPr>
                <w:b w:val="0"/>
                <w:szCs w:val="24"/>
              </w:rPr>
              <w:t xml:space="preserve"> space</w:t>
            </w:r>
            <w:r w:rsidR="005B08E2">
              <w:rPr>
                <w:b w:val="0"/>
                <w:szCs w:val="24"/>
              </w:rPr>
              <w:t>s would be identified</w:t>
            </w:r>
            <w:r w:rsidRPr="00C348E2">
              <w:rPr>
                <w:b w:val="0"/>
                <w:szCs w:val="24"/>
              </w:rPr>
              <w:t xml:space="preserve"> in advance of</w:t>
            </w:r>
            <w:r w:rsidR="0067075A" w:rsidRPr="00C348E2">
              <w:rPr>
                <w:b w:val="0"/>
                <w:szCs w:val="24"/>
              </w:rPr>
              <w:t xml:space="preserve"> </w:t>
            </w:r>
            <w:r w:rsidR="002F5455">
              <w:rPr>
                <w:b w:val="0"/>
                <w:szCs w:val="24"/>
              </w:rPr>
              <w:t>undergraduate (UG)</w:t>
            </w:r>
            <w:r w:rsidR="0067075A" w:rsidRPr="00C348E2">
              <w:rPr>
                <w:b w:val="0"/>
                <w:szCs w:val="24"/>
              </w:rPr>
              <w:t xml:space="preserve"> teaching</w:t>
            </w:r>
            <w:r w:rsidR="00736804">
              <w:rPr>
                <w:b w:val="0"/>
                <w:szCs w:val="24"/>
              </w:rPr>
              <w:t xml:space="preserve"> commencing in Semester Two</w:t>
            </w:r>
            <w:r w:rsidR="0067075A" w:rsidRPr="00C348E2">
              <w:rPr>
                <w:b w:val="0"/>
                <w:szCs w:val="24"/>
              </w:rPr>
              <w:t>.</w:t>
            </w:r>
          </w:p>
          <w:p w14:paraId="4294BA6D" w14:textId="4FF8C0AC" w:rsidR="0067075A" w:rsidRPr="0075520D" w:rsidRDefault="00C348E2" w:rsidP="00C348E2">
            <w:pPr>
              <w:pStyle w:val="Heading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Members</w:t>
            </w:r>
            <w:r w:rsidR="005B08E2">
              <w:rPr>
                <w:b w:val="0"/>
                <w:szCs w:val="24"/>
              </w:rPr>
              <w:t xml:space="preserve"> </w:t>
            </w:r>
            <w:r w:rsidR="002D0EB8">
              <w:rPr>
                <w:b w:val="0"/>
                <w:szCs w:val="24"/>
              </w:rPr>
              <w:t>commented</w:t>
            </w:r>
            <w:r>
              <w:rPr>
                <w:b w:val="0"/>
                <w:szCs w:val="24"/>
              </w:rPr>
              <w:t xml:space="preserve"> that it would be helpful to </w:t>
            </w:r>
            <w:r w:rsidR="002D0EB8">
              <w:rPr>
                <w:b w:val="0"/>
                <w:szCs w:val="24"/>
              </w:rPr>
              <w:t>consider further detail on</w:t>
            </w:r>
            <w:r>
              <w:rPr>
                <w:b w:val="0"/>
                <w:szCs w:val="24"/>
              </w:rPr>
              <w:t xml:space="preserve"> how additional income could be generated by disposals</w:t>
            </w:r>
            <w:r w:rsidR="002D0EB8">
              <w:rPr>
                <w:b w:val="0"/>
                <w:szCs w:val="24"/>
              </w:rPr>
              <w:t xml:space="preserve"> and the</w:t>
            </w:r>
            <w:r w:rsidRPr="00C348E2">
              <w:rPr>
                <w:b w:val="0"/>
                <w:szCs w:val="24"/>
              </w:rPr>
              <w:t xml:space="preserve"> </w:t>
            </w:r>
            <w:r w:rsidR="002D0EB8">
              <w:rPr>
                <w:b w:val="0"/>
                <w:szCs w:val="24"/>
              </w:rPr>
              <w:t xml:space="preserve">envisaged </w:t>
            </w:r>
            <w:r w:rsidRPr="00C348E2">
              <w:rPr>
                <w:b w:val="0"/>
                <w:szCs w:val="24"/>
              </w:rPr>
              <w:t xml:space="preserve">University </w:t>
            </w:r>
            <w:r w:rsidR="0067075A" w:rsidRPr="00C348E2">
              <w:rPr>
                <w:b w:val="0"/>
                <w:szCs w:val="24"/>
              </w:rPr>
              <w:t xml:space="preserve">property </w:t>
            </w:r>
            <w:r w:rsidRPr="00C348E2">
              <w:rPr>
                <w:b w:val="0"/>
                <w:szCs w:val="24"/>
              </w:rPr>
              <w:t>portfolio</w:t>
            </w:r>
            <w:r w:rsidR="002D0EB8">
              <w:rPr>
                <w:b w:val="0"/>
                <w:szCs w:val="24"/>
              </w:rPr>
              <w:t>,</w:t>
            </w:r>
            <w:r w:rsidRPr="00C348E2">
              <w:rPr>
                <w:b w:val="0"/>
                <w:szCs w:val="24"/>
              </w:rPr>
              <w:t xml:space="preserve"> </w:t>
            </w:r>
            <w:r w:rsidR="002D0EB8">
              <w:rPr>
                <w:b w:val="0"/>
                <w:szCs w:val="24"/>
              </w:rPr>
              <w:t>with</w:t>
            </w:r>
            <w:r w:rsidR="002D0EB8" w:rsidRPr="00C348E2">
              <w:rPr>
                <w:b w:val="0"/>
                <w:szCs w:val="24"/>
              </w:rPr>
              <w:t xml:space="preserve"> underpinning assumptions</w:t>
            </w:r>
            <w:r w:rsidR="002D0EB8">
              <w:rPr>
                <w:b w:val="0"/>
                <w:szCs w:val="24"/>
              </w:rPr>
              <w:t>,</w:t>
            </w:r>
            <w:r w:rsidR="002D0EB8" w:rsidRPr="00C348E2">
              <w:rPr>
                <w:b w:val="0"/>
                <w:szCs w:val="24"/>
              </w:rPr>
              <w:t xml:space="preserve"> </w:t>
            </w:r>
            <w:r w:rsidR="0067075A" w:rsidRPr="00C348E2">
              <w:rPr>
                <w:b w:val="0"/>
                <w:szCs w:val="24"/>
              </w:rPr>
              <w:t xml:space="preserve">at various stages of the life of the </w:t>
            </w:r>
            <w:r w:rsidRPr="00C348E2">
              <w:rPr>
                <w:b w:val="0"/>
                <w:szCs w:val="24"/>
              </w:rPr>
              <w:t>Campus Plan</w:t>
            </w:r>
            <w:r w:rsidR="0067075A" w:rsidRPr="00C348E2">
              <w:rPr>
                <w:b w:val="0"/>
                <w:szCs w:val="24"/>
              </w:rPr>
              <w:t>.</w:t>
            </w:r>
            <w:r w:rsidR="0067075A">
              <w:rPr>
                <w:szCs w:val="24"/>
              </w:rPr>
              <w:t xml:space="preserve"> </w:t>
            </w:r>
          </w:p>
        </w:tc>
      </w:tr>
      <w:tr w:rsidR="0067075A" w:rsidRPr="008A753B" w14:paraId="4B22D184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4109323A" w14:textId="7617A31E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E43697F" w14:textId="5CC7D316" w:rsidR="0067075A" w:rsidRPr="001B5FBA" w:rsidRDefault="0067075A" w:rsidP="0067075A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b/>
                <w:bCs/>
                <w:sz w:val="24"/>
                <w:szCs w:val="24"/>
              </w:rPr>
            </w:pPr>
            <w:r w:rsidRPr="001B5FBA">
              <w:rPr>
                <w:b/>
                <w:bCs/>
                <w:sz w:val="24"/>
                <w:szCs w:val="24"/>
              </w:rPr>
              <w:t xml:space="preserve">Actions: </w:t>
            </w:r>
            <w:r w:rsidR="001C2830" w:rsidRPr="001B5FBA">
              <w:rPr>
                <w:b/>
                <w:sz w:val="24"/>
                <w:szCs w:val="24"/>
              </w:rPr>
              <w:t>GDSI&amp;C</w:t>
            </w:r>
          </w:p>
          <w:p w14:paraId="5C1C45F4" w14:textId="4B330D27" w:rsidR="00C348E2" w:rsidRPr="001B5FBA" w:rsidRDefault="0075520D" w:rsidP="00A7297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>T</w:t>
            </w:r>
            <w:r w:rsidR="001C2830" w:rsidRPr="001B5FBA">
              <w:rPr>
                <w:sz w:val="24"/>
                <w:szCs w:val="24"/>
              </w:rPr>
              <w:t xml:space="preserve">o provide for the </w:t>
            </w:r>
            <w:r w:rsidR="00C348E2" w:rsidRPr="001B5FBA">
              <w:rPr>
                <w:sz w:val="24"/>
                <w:szCs w:val="24"/>
              </w:rPr>
              <w:t>May meeting:</w:t>
            </w:r>
          </w:p>
          <w:p w14:paraId="1197AF7D" w14:textId="05D03A5D" w:rsidR="0067075A" w:rsidRPr="001B5FBA" w:rsidRDefault="002D0EB8" w:rsidP="00A72977">
            <w:pPr>
              <w:pStyle w:val="ListParagraph"/>
              <w:numPr>
                <w:ilvl w:val="1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 xml:space="preserve">a </w:t>
            </w:r>
            <w:r w:rsidR="0067075A" w:rsidRPr="001B5FBA">
              <w:rPr>
                <w:sz w:val="24"/>
                <w:szCs w:val="24"/>
              </w:rPr>
              <w:t xml:space="preserve">detailed breakdown of the proposed projects/costs, including </w:t>
            </w:r>
            <w:r w:rsidR="002F5455">
              <w:rPr>
                <w:sz w:val="24"/>
                <w:szCs w:val="24"/>
              </w:rPr>
              <w:t xml:space="preserve">a </w:t>
            </w:r>
            <w:r w:rsidR="0067075A" w:rsidRPr="001B5FBA">
              <w:rPr>
                <w:sz w:val="24"/>
                <w:szCs w:val="24"/>
              </w:rPr>
              <w:t>revised running order of building refurbishments, between now and 2040</w:t>
            </w:r>
            <w:r w:rsidR="001C2830" w:rsidRPr="001B5FBA">
              <w:rPr>
                <w:sz w:val="24"/>
                <w:szCs w:val="24"/>
              </w:rPr>
              <w:t>;</w:t>
            </w:r>
          </w:p>
          <w:p w14:paraId="0067D92A" w14:textId="0E2C1286" w:rsidR="001C2830" w:rsidRPr="001B5FBA" w:rsidRDefault="001B5FBA" w:rsidP="00A72977">
            <w:pPr>
              <w:pStyle w:val="ListParagraph"/>
              <w:numPr>
                <w:ilvl w:val="1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>a confidential minute was recorded;</w:t>
            </w:r>
          </w:p>
          <w:p w14:paraId="71FDCD67" w14:textId="0575362A" w:rsidR="001C2830" w:rsidRPr="001B5FBA" w:rsidRDefault="00281C25" w:rsidP="00A72977">
            <w:pPr>
              <w:pStyle w:val="ListParagraph"/>
              <w:numPr>
                <w:ilvl w:val="1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bCs/>
                <w:sz w:val="24"/>
                <w:szCs w:val="24"/>
              </w:rPr>
            </w:pPr>
            <w:r w:rsidRPr="001B5FBA">
              <w:rPr>
                <w:bCs/>
                <w:sz w:val="24"/>
                <w:szCs w:val="24"/>
              </w:rPr>
              <w:t xml:space="preserve">a visual representation of </w:t>
            </w:r>
            <w:r w:rsidR="002D0EB8" w:rsidRPr="001B5FBA">
              <w:rPr>
                <w:bCs/>
                <w:sz w:val="24"/>
                <w:szCs w:val="24"/>
              </w:rPr>
              <w:t xml:space="preserve">the </w:t>
            </w:r>
            <w:r w:rsidR="001C2830" w:rsidRPr="001B5FBA">
              <w:rPr>
                <w:bCs/>
                <w:sz w:val="24"/>
                <w:szCs w:val="24"/>
              </w:rPr>
              <w:t xml:space="preserve">University property portfolio at various stages </w:t>
            </w:r>
            <w:r w:rsidR="002D0EB8" w:rsidRPr="001B5FBA">
              <w:rPr>
                <w:bCs/>
                <w:sz w:val="24"/>
                <w:szCs w:val="24"/>
              </w:rPr>
              <w:t>of</w:t>
            </w:r>
            <w:r w:rsidR="001C2830" w:rsidRPr="001B5FBA">
              <w:rPr>
                <w:bCs/>
                <w:sz w:val="24"/>
                <w:szCs w:val="24"/>
              </w:rPr>
              <w:t xml:space="preserve"> the Campus Plan</w:t>
            </w:r>
            <w:r w:rsidR="0075520D" w:rsidRPr="001B5FBA">
              <w:rPr>
                <w:bCs/>
                <w:sz w:val="24"/>
                <w:szCs w:val="24"/>
              </w:rPr>
              <w:t>.</w:t>
            </w:r>
          </w:p>
          <w:p w14:paraId="18D8AAF2" w14:textId="272E2F2D" w:rsidR="0067075A" w:rsidRPr="001B5FBA" w:rsidRDefault="0075520D" w:rsidP="00A7297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1B5FBA">
              <w:rPr>
                <w:bCs/>
                <w:sz w:val="24"/>
                <w:szCs w:val="24"/>
              </w:rPr>
              <w:t>F</w:t>
            </w:r>
            <w:r w:rsidR="001C2830" w:rsidRPr="001B5FBA">
              <w:rPr>
                <w:bCs/>
                <w:sz w:val="24"/>
                <w:szCs w:val="24"/>
              </w:rPr>
              <w:t>uture</w:t>
            </w:r>
            <w:r w:rsidR="0067075A" w:rsidRPr="001B5FBA">
              <w:rPr>
                <w:bCs/>
                <w:sz w:val="24"/>
                <w:szCs w:val="24"/>
              </w:rPr>
              <w:t xml:space="preserve"> proposals for</w:t>
            </w:r>
            <w:r w:rsidR="001C2830" w:rsidRPr="001B5FBA">
              <w:rPr>
                <w:bCs/>
                <w:sz w:val="24"/>
                <w:szCs w:val="24"/>
              </w:rPr>
              <w:t xml:space="preserve"> the</w:t>
            </w:r>
            <w:r w:rsidR="0067075A" w:rsidRPr="001B5FBA">
              <w:rPr>
                <w:bCs/>
                <w:sz w:val="24"/>
                <w:szCs w:val="24"/>
              </w:rPr>
              <w:t xml:space="preserve"> Owen</w:t>
            </w:r>
            <w:r w:rsidR="00030F68" w:rsidRPr="001B5FBA">
              <w:rPr>
                <w:bCs/>
                <w:sz w:val="24"/>
                <w:szCs w:val="24"/>
              </w:rPr>
              <w:t xml:space="preserve"> </w:t>
            </w:r>
            <w:r w:rsidR="001C2830" w:rsidRPr="001B5FBA">
              <w:rPr>
                <w:bCs/>
                <w:sz w:val="24"/>
                <w:szCs w:val="24"/>
              </w:rPr>
              <w:t xml:space="preserve">building to </w:t>
            </w:r>
            <w:r w:rsidR="0067075A" w:rsidRPr="001B5FBA">
              <w:rPr>
                <w:bCs/>
                <w:sz w:val="24"/>
                <w:szCs w:val="24"/>
              </w:rPr>
              <w:t>be presented at a subsequent meeting</w:t>
            </w:r>
            <w:r w:rsidR="001C2830" w:rsidRPr="001B5FBA">
              <w:rPr>
                <w:bCs/>
                <w:sz w:val="24"/>
                <w:szCs w:val="24"/>
              </w:rPr>
              <w:t>.</w:t>
            </w:r>
          </w:p>
        </w:tc>
      </w:tr>
      <w:tr w:rsidR="0067075A" w:rsidRPr="008A753B" w14:paraId="439E34D1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66C779BA" w14:textId="604104C4" w:rsidR="0067075A" w:rsidRDefault="00030F68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E3316D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D95B71B" w14:textId="66A3AE38" w:rsidR="0067075A" w:rsidRPr="0055402A" w:rsidRDefault="0067075A" w:rsidP="0067075A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to </w:t>
            </w:r>
            <w:r w:rsidRPr="00411C63">
              <w:rPr>
                <w:b/>
                <w:bCs/>
                <w:sz w:val="24"/>
                <w:szCs w:val="24"/>
              </w:rPr>
              <w:t>approve</w:t>
            </w:r>
            <w:r>
              <w:rPr>
                <w:sz w:val="24"/>
                <w:szCs w:val="24"/>
              </w:rPr>
              <w:t xml:space="preserve"> </w:t>
            </w:r>
            <w:r w:rsidR="00030F68">
              <w:rPr>
                <w:sz w:val="24"/>
                <w:szCs w:val="24"/>
              </w:rPr>
              <w:t>the above approach in further developing the Campus Plan.</w:t>
            </w:r>
          </w:p>
        </w:tc>
      </w:tr>
      <w:tr w:rsidR="0067075A" w:rsidRPr="008A753B" w14:paraId="55492BDD" w14:textId="77777777" w:rsidTr="00E3316D"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CD9A082" w14:textId="74C35601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FEC_2024_03_06_7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EF5CA3" w14:textId="202BBBD9" w:rsidR="0067075A" w:rsidRPr="008A753B" w:rsidRDefault="0067075A" w:rsidP="0067075A">
            <w:pPr>
              <w:pStyle w:val="Heading2"/>
            </w:pPr>
            <w:r>
              <w:t xml:space="preserve"> INTEGRATION AND MODERN DATA ARCHITECTURE PROJECT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C1C901" w14:textId="705001A9" w:rsidR="0067075A" w:rsidRPr="00CF367D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FEC_2024_03_06_P7</w:t>
            </w:r>
          </w:p>
        </w:tc>
      </w:tr>
      <w:tr w:rsidR="0067075A" w:rsidRPr="00EE70CB" w14:paraId="006C7D06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7324AAE7" w14:textId="117A758B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220DA480" w14:textId="2A8B65C9" w:rsidR="0067075A" w:rsidRPr="00F776D0" w:rsidRDefault="001C2830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 </w:t>
            </w:r>
            <w:r w:rsidR="0075520D">
              <w:rPr>
                <w:sz w:val="24"/>
                <w:szCs w:val="24"/>
              </w:rPr>
              <w:t xml:space="preserve">received </w:t>
            </w:r>
            <w:r>
              <w:rPr>
                <w:sz w:val="24"/>
                <w:szCs w:val="24"/>
              </w:rPr>
              <w:t xml:space="preserve">an update on </w:t>
            </w:r>
            <w:r w:rsidR="0067075A">
              <w:rPr>
                <w:sz w:val="24"/>
                <w:szCs w:val="24"/>
              </w:rPr>
              <w:t xml:space="preserve">progress </w:t>
            </w:r>
            <w:r>
              <w:rPr>
                <w:sz w:val="24"/>
                <w:szCs w:val="24"/>
              </w:rPr>
              <w:t>to date, noting that the s</w:t>
            </w:r>
            <w:r w:rsidR="0067075A">
              <w:rPr>
                <w:sz w:val="24"/>
                <w:szCs w:val="24"/>
              </w:rPr>
              <w:t xml:space="preserve">oftware contact </w:t>
            </w:r>
            <w:r>
              <w:rPr>
                <w:sz w:val="24"/>
                <w:szCs w:val="24"/>
              </w:rPr>
              <w:t xml:space="preserve">(approved under Chair’s action) was now </w:t>
            </w:r>
            <w:r w:rsidR="0067075A">
              <w:rPr>
                <w:sz w:val="24"/>
                <w:szCs w:val="24"/>
              </w:rPr>
              <w:t xml:space="preserve">in place. </w:t>
            </w:r>
            <w:r>
              <w:rPr>
                <w:sz w:val="24"/>
                <w:szCs w:val="24"/>
              </w:rPr>
              <w:t xml:space="preserve">The University was seeking Committee approval of the overall project </w:t>
            </w:r>
            <w:r w:rsidRPr="00A924FE">
              <w:rPr>
                <w:sz w:val="24"/>
                <w:szCs w:val="24"/>
              </w:rPr>
              <w:t>budget</w:t>
            </w:r>
            <w:r>
              <w:rPr>
                <w:sz w:val="24"/>
                <w:szCs w:val="24"/>
              </w:rPr>
              <w:t xml:space="preserve"> and t</w:t>
            </w:r>
            <w:r w:rsidR="0067075A">
              <w:rPr>
                <w:sz w:val="24"/>
                <w:szCs w:val="24"/>
              </w:rPr>
              <w:t xml:space="preserve">o contract </w:t>
            </w:r>
            <w:r>
              <w:rPr>
                <w:sz w:val="24"/>
                <w:szCs w:val="24"/>
              </w:rPr>
              <w:t>with the Managed Service Provider (MSP)</w:t>
            </w:r>
            <w:r w:rsidR="0067075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It was highlighted that </w:t>
            </w:r>
            <w:r w:rsidR="0075520D">
              <w:rPr>
                <w:sz w:val="24"/>
                <w:szCs w:val="24"/>
              </w:rPr>
              <w:t xml:space="preserve">the project </w:t>
            </w:r>
            <w:r>
              <w:rPr>
                <w:sz w:val="24"/>
                <w:szCs w:val="24"/>
              </w:rPr>
              <w:t>was a key strand of the</w:t>
            </w:r>
            <w:r w:rsidR="0067075A">
              <w:rPr>
                <w:sz w:val="24"/>
                <w:szCs w:val="24"/>
              </w:rPr>
              <w:t xml:space="preserve"> Technology Strategy and </w:t>
            </w:r>
            <w:r>
              <w:rPr>
                <w:sz w:val="24"/>
                <w:szCs w:val="24"/>
              </w:rPr>
              <w:t>would</w:t>
            </w:r>
            <w:r w:rsidR="0067075A">
              <w:rPr>
                <w:sz w:val="24"/>
                <w:szCs w:val="24"/>
              </w:rPr>
              <w:t xml:space="preserve"> make a significant difference across the University</w:t>
            </w:r>
            <w:r>
              <w:rPr>
                <w:sz w:val="24"/>
                <w:szCs w:val="24"/>
              </w:rPr>
              <w:t xml:space="preserve"> in terms of </w:t>
            </w:r>
            <w:r w:rsidR="0067075A">
              <w:rPr>
                <w:sz w:val="24"/>
                <w:szCs w:val="24"/>
              </w:rPr>
              <w:t xml:space="preserve">further technology development and efficiencies. </w:t>
            </w:r>
          </w:p>
        </w:tc>
      </w:tr>
      <w:tr w:rsidR="0067075A" w:rsidRPr="00EE70CB" w14:paraId="3F8A5802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5D04FD56" w14:textId="6C2A30C5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2377A1E3" w14:textId="7D825818" w:rsidR="0067075A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AE1127">
              <w:rPr>
                <w:b/>
                <w:bCs/>
                <w:sz w:val="24"/>
                <w:szCs w:val="24"/>
              </w:rPr>
              <w:t>Resolution:</w:t>
            </w:r>
            <w:r w:rsidRPr="00AE1127">
              <w:rPr>
                <w:sz w:val="24"/>
                <w:szCs w:val="24"/>
              </w:rPr>
              <w:t xml:space="preserve"> to </w:t>
            </w:r>
            <w:r w:rsidRPr="00AE1127">
              <w:rPr>
                <w:b/>
                <w:bCs/>
                <w:sz w:val="24"/>
                <w:szCs w:val="24"/>
              </w:rPr>
              <w:t>approve</w:t>
            </w:r>
            <w:r w:rsidRPr="00AE1127">
              <w:rPr>
                <w:color w:val="FF0000"/>
                <w:sz w:val="24"/>
                <w:szCs w:val="24"/>
              </w:rPr>
              <w:t xml:space="preserve"> </w:t>
            </w:r>
            <w:r w:rsidRPr="00AE1127">
              <w:rPr>
                <w:sz w:val="24"/>
                <w:szCs w:val="24"/>
              </w:rPr>
              <w:t xml:space="preserve">the total cost to deliver the project of £2.1m over the 5-year contract period </w:t>
            </w:r>
            <w:r w:rsidR="001C2830">
              <w:rPr>
                <w:sz w:val="24"/>
                <w:szCs w:val="24"/>
              </w:rPr>
              <w:t xml:space="preserve">and to award the MSP </w:t>
            </w:r>
            <w:r w:rsidR="0075520D">
              <w:rPr>
                <w:sz w:val="24"/>
                <w:szCs w:val="24"/>
              </w:rPr>
              <w:t>contract</w:t>
            </w:r>
            <w:r w:rsidR="00222606">
              <w:rPr>
                <w:sz w:val="24"/>
                <w:szCs w:val="24"/>
              </w:rPr>
              <w:t>,</w:t>
            </w:r>
            <w:r w:rsidR="00222606" w:rsidRPr="00AE1127">
              <w:rPr>
                <w:sz w:val="24"/>
                <w:szCs w:val="24"/>
              </w:rPr>
              <w:t xml:space="preserve"> as recommended by UEB</w:t>
            </w:r>
            <w:r w:rsidR="0075520D">
              <w:rPr>
                <w:sz w:val="24"/>
                <w:szCs w:val="24"/>
              </w:rPr>
              <w:t xml:space="preserve">. </w:t>
            </w:r>
          </w:p>
        </w:tc>
      </w:tr>
      <w:tr w:rsidR="0067075A" w:rsidRPr="008A753B" w14:paraId="7DB4377C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61D3FB" w14:textId="23047C8A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6" w:name="_Hlk114509277"/>
            <w:r>
              <w:t>FEC_2024_03_06_8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0E19F9" w14:textId="53224B8E" w:rsidR="0067075A" w:rsidRPr="008A753B" w:rsidRDefault="0067075A" w:rsidP="0067075A">
            <w:pPr>
              <w:pStyle w:val="Heading2"/>
            </w:pPr>
            <w:r>
              <w:t>PROCUREMENT MATTERS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0764D5" w14:textId="77777777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</w:p>
        </w:tc>
      </w:tr>
      <w:bookmarkEnd w:id="6"/>
      <w:tr w:rsidR="0067075A" w:rsidRPr="008A753B" w14:paraId="440EA2C8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2700EB5E" w14:textId="7B3ACE9D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104F0F67" w14:textId="51964180" w:rsidR="0067075A" w:rsidRPr="000D02D5" w:rsidRDefault="0067075A" w:rsidP="0075520D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BC6873">
              <w:rPr>
                <w:b/>
                <w:bCs/>
                <w:color w:val="000000" w:themeColor="text1"/>
                <w:sz w:val="24"/>
                <w:szCs w:val="24"/>
              </w:rPr>
              <w:t xml:space="preserve">Revised </w:t>
            </w:r>
            <w:r w:rsidRPr="00BC6873">
              <w:rPr>
                <w:b/>
                <w:bCs/>
                <w:sz w:val="24"/>
                <w:szCs w:val="24"/>
              </w:rPr>
              <w:t>insurance procurement strategy</w:t>
            </w:r>
            <w:r>
              <w:rPr>
                <w:color w:val="000000" w:themeColor="text1"/>
                <w:sz w:val="24"/>
                <w:szCs w:val="24"/>
              </w:rPr>
              <w:t xml:space="preserve">:  </w:t>
            </w:r>
            <w:r w:rsidR="002F5455">
              <w:rPr>
                <w:color w:val="000000" w:themeColor="text1"/>
                <w:sz w:val="24"/>
                <w:szCs w:val="24"/>
              </w:rPr>
              <w:t>t</w:t>
            </w:r>
            <w:r>
              <w:rPr>
                <w:color w:val="000000" w:themeColor="text1"/>
                <w:sz w:val="24"/>
                <w:szCs w:val="24"/>
              </w:rPr>
              <w:t xml:space="preserve">he CFO </w:t>
            </w:r>
            <w:r>
              <w:rPr>
                <w:sz w:val="24"/>
              </w:rPr>
              <w:t xml:space="preserve">outlined a proposed change in the approach to procuring </w:t>
            </w:r>
            <w:r w:rsidRPr="001D7F0C">
              <w:rPr>
                <w:sz w:val="24"/>
                <w:szCs w:val="24"/>
              </w:rPr>
              <w:t>renewal terms from an increasingly hard insurance market</w:t>
            </w:r>
            <w:r>
              <w:rPr>
                <w:sz w:val="24"/>
                <w:szCs w:val="24"/>
              </w:rPr>
              <w:t xml:space="preserve">, noting that </w:t>
            </w:r>
            <w:r w:rsidRPr="001D7F0C">
              <w:rPr>
                <w:sz w:val="24"/>
                <w:szCs w:val="24"/>
              </w:rPr>
              <w:t>the most competitive and cost-effective way</w:t>
            </w:r>
            <w:r>
              <w:rPr>
                <w:sz w:val="24"/>
                <w:szCs w:val="24"/>
              </w:rPr>
              <w:t xml:space="preserve"> was a </w:t>
            </w:r>
            <w:r w:rsidRPr="00F70F02">
              <w:rPr>
                <w:sz w:val="24"/>
                <w:szCs w:val="24"/>
              </w:rPr>
              <w:t>broker-led tender</w:t>
            </w:r>
            <w:r>
              <w:rPr>
                <w:sz w:val="24"/>
              </w:rPr>
              <w:t>.  W</w:t>
            </w:r>
            <w:r w:rsidRPr="003E7B47">
              <w:rPr>
                <w:sz w:val="24"/>
                <w:szCs w:val="24"/>
              </w:rPr>
              <w:t>hilst UEB ha</w:t>
            </w:r>
            <w:r>
              <w:rPr>
                <w:sz w:val="24"/>
                <w:szCs w:val="24"/>
              </w:rPr>
              <w:t>d</w:t>
            </w:r>
            <w:r w:rsidRPr="003E7B47">
              <w:rPr>
                <w:sz w:val="24"/>
                <w:szCs w:val="24"/>
              </w:rPr>
              <w:t xml:space="preserve"> delegated </w:t>
            </w:r>
            <w:r>
              <w:rPr>
                <w:sz w:val="24"/>
                <w:szCs w:val="24"/>
              </w:rPr>
              <w:t xml:space="preserve">authority </w:t>
            </w:r>
            <w:r w:rsidRPr="003E7B47">
              <w:rPr>
                <w:sz w:val="24"/>
                <w:szCs w:val="24"/>
              </w:rPr>
              <w:t xml:space="preserve">to approve the annual insurance renewal, due to the </w:t>
            </w:r>
            <w:r>
              <w:rPr>
                <w:sz w:val="24"/>
                <w:szCs w:val="24"/>
              </w:rPr>
              <w:t xml:space="preserve">intention to contract for a period of 3 years with an option to extend for a further 2 years, and the overall contract value of £7.5m, the University’s governance arrangements </w:t>
            </w:r>
            <w:r w:rsidR="008046E7">
              <w:rPr>
                <w:sz w:val="24"/>
                <w:szCs w:val="24"/>
              </w:rPr>
              <w:t>required</w:t>
            </w:r>
            <w:r>
              <w:rPr>
                <w:sz w:val="24"/>
                <w:szCs w:val="24"/>
              </w:rPr>
              <w:t xml:space="preserve"> approval from FEC and the Board.  </w:t>
            </w:r>
          </w:p>
        </w:tc>
      </w:tr>
      <w:tr w:rsidR="0067075A" w:rsidRPr="008A753B" w14:paraId="29BC90AA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0087ADA0" w14:textId="6B76EE96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36B590B3" w14:textId="6B5FB4C7" w:rsidR="0067075A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b/>
                <w:bCs/>
                <w:sz w:val="24"/>
                <w:szCs w:val="24"/>
              </w:rPr>
              <w:t>recommend</w:t>
            </w:r>
            <w:r w:rsidRPr="00B82C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="0075520D">
              <w:rPr>
                <w:sz w:val="24"/>
                <w:szCs w:val="24"/>
              </w:rPr>
              <w:t xml:space="preserve">following </w:t>
            </w:r>
            <w:r>
              <w:rPr>
                <w:sz w:val="24"/>
                <w:szCs w:val="24"/>
              </w:rPr>
              <w:t>proposal</w:t>
            </w:r>
            <w:r w:rsidR="0075520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</w:t>
            </w:r>
            <w:r w:rsidRPr="00B82C54">
              <w:rPr>
                <w:sz w:val="24"/>
                <w:szCs w:val="24"/>
              </w:rPr>
              <w:t>o the Board of Governor</w:t>
            </w:r>
            <w:r>
              <w:rPr>
                <w:sz w:val="24"/>
                <w:szCs w:val="24"/>
              </w:rPr>
              <w:t xml:space="preserve">s. </w:t>
            </w:r>
          </w:p>
          <w:p w14:paraId="47CA92B0" w14:textId="0198920C" w:rsidR="0067075A" w:rsidRPr="00A80BAC" w:rsidRDefault="0075520D" w:rsidP="00A729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 w:rsidRPr="0075520D">
              <w:rPr>
                <w:sz w:val="24"/>
                <w:szCs w:val="24"/>
              </w:rPr>
              <w:t>To</w:t>
            </w:r>
            <w:r>
              <w:rPr>
                <w:b/>
                <w:bCs/>
                <w:sz w:val="24"/>
                <w:szCs w:val="24"/>
              </w:rPr>
              <w:t xml:space="preserve"> a</w:t>
            </w:r>
            <w:r w:rsidR="0067075A" w:rsidRPr="00A80BAC">
              <w:rPr>
                <w:b/>
                <w:bCs/>
                <w:sz w:val="24"/>
                <w:szCs w:val="24"/>
              </w:rPr>
              <w:t>pprove</w:t>
            </w:r>
            <w:r w:rsidR="0067075A" w:rsidRPr="00A80BAC">
              <w:rPr>
                <w:sz w:val="24"/>
                <w:szCs w:val="24"/>
              </w:rPr>
              <w:t xml:space="preserve"> a broker-led tender</w:t>
            </w:r>
            <w:r>
              <w:rPr>
                <w:sz w:val="24"/>
                <w:szCs w:val="24"/>
              </w:rPr>
              <w:t xml:space="preserve">; and </w:t>
            </w:r>
          </w:p>
          <w:p w14:paraId="0E95F3F4" w14:textId="6769F93A" w:rsidR="0067075A" w:rsidRPr="00DF21C3" w:rsidRDefault="0075520D" w:rsidP="00A729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5520D">
              <w:rPr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 d</w:t>
            </w:r>
            <w:r w:rsidR="0067075A" w:rsidRPr="00A80BAC">
              <w:rPr>
                <w:b/>
                <w:bCs/>
                <w:sz w:val="24"/>
                <w:szCs w:val="24"/>
              </w:rPr>
              <w:t xml:space="preserve">elegate </w:t>
            </w:r>
            <w:r w:rsidR="0067075A" w:rsidRPr="00A80BAC">
              <w:rPr>
                <w:sz w:val="24"/>
                <w:szCs w:val="24"/>
              </w:rPr>
              <w:t>authority to the C</w:t>
            </w:r>
            <w:r w:rsidR="0067075A">
              <w:rPr>
                <w:sz w:val="24"/>
                <w:szCs w:val="24"/>
              </w:rPr>
              <w:t xml:space="preserve">FO </w:t>
            </w:r>
            <w:r w:rsidR="0067075A" w:rsidRPr="00A80BAC">
              <w:rPr>
                <w:sz w:val="24"/>
                <w:szCs w:val="24"/>
              </w:rPr>
              <w:t>to award insurance contracts within the scope of this report up to a maximum of 5 years and</w:t>
            </w:r>
            <w:r w:rsidR="0067075A">
              <w:rPr>
                <w:sz w:val="24"/>
                <w:szCs w:val="24"/>
              </w:rPr>
              <w:t xml:space="preserve"> a value of</w:t>
            </w:r>
            <w:r w:rsidR="0067075A" w:rsidRPr="00A80BAC">
              <w:rPr>
                <w:sz w:val="24"/>
                <w:szCs w:val="24"/>
              </w:rPr>
              <w:t xml:space="preserve"> £7.5m</w:t>
            </w:r>
            <w:r w:rsidR="0067075A">
              <w:rPr>
                <w:sz w:val="24"/>
                <w:szCs w:val="24"/>
              </w:rPr>
              <w:t xml:space="preserve">. </w:t>
            </w:r>
          </w:p>
        </w:tc>
      </w:tr>
      <w:tr w:rsidR="0067075A" w:rsidRPr="008A753B" w14:paraId="37906723" w14:textId="77777777" w:rsidTr="00E3316D">
        <w:tc>
          <w:tcPr>
            <w:tcW w:w="1702" w:type="dxa"/>
            <w:tcBorders>
              <w:top w:val="nil"/>
              <w:bottom w:val="nil"/>
            </w:tcBorders>
          </w:tcPr>
          <w:p w14:paraId="1E2382E0" w14:textId="454DFC9F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27C34C33" w14:textId="77777777" w:rsidR="0067075A" w:rsidRPr="00F60FB1" w:rsidRDefault="0067075A" w:rsidP="0067075A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60FB1">
              <w:rPr>
                <w:b/>
                <w:bCs/>
                <w:color w:val="000000" w:themeColor="text1"/>
                <w:sz w:val="24"/>
                <w:szCs w:val="24"/>
              </w:rPr>
              <w:t xml:space="preserve">Orders and Contracts Above Threshold: </w:t>
            </w:r>
            <w:r w:rsidRPr="00F60FB1">
              <w:rPr>
                <w:color w:val="000000" w:themeColor="text1"/>
                <w:sz w:val="24"/>
                <w:szCs w:val="24"/>
              </w:rPr>
              <w:t>to note</w:t>
            </w:r>
            <w:r w:rsidRPr="00F60FB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0FB1">
              <w:rPr>
                <w:color w:val="000000" w:themeColor="text1"/>
                <w:sz w:val="24"/>
                <w:szCs w:val="24"/>
              </w:rPr>
              <w:t>the award of contracts valued above £500k since the previous meeting.</w:t>
            </w:r>
          </w:p>
          <w:p w14:paraId="150FD837" w14:textId="77777777" w:rsidR="0067075A" w:rsidRPr="00F60FB1" w:rsidRDefault="0067075A" w:rsidP="00A72977">
            <w:pPr>
              <w:pStyle w:val="ListParagraph"/>
              <w:numPr>
                <w:ilvl w:val="0"/>
                <w:numId w:val="1"/>
              </w:numPr>
              <w:tabs>
                <w:tab w:val="left" w:pos="506"/>
              </w:tabs>
              <w:spacing w:after="160" w:line="259" w:lineRule="auto"/>
              <w:ind w:left="360"/>
              <w:rPr>
                <w:sz w:val="24"/>
                <w:szCs w:val="24"/>
              </w:rPr>
            </w:pPr>
            <w:r w:rsidRPr="00F60FB1">
              <w:rPr>
                <w:sz w:val="24"/>
                <w:szCs w:val="24"/>
              </w:rPr>
              <w:t>Hybrid (contract extension) - £1,000,000</w:t>
            </w:r>
          </w:p>
          <w:p w14:paraId="1BE67260" w14:textId="07C84633" w:rsidR="0067075A" w:rsidRPr="00F60FB1" w:rsidRDefault="0067075A" w:rsidP="00A72977">
            <w:pPr>
              <w:pStyle w:val="ListParagraph"/>
              <w:numPr>
                <w:ilvl w:val="0"/>
                <w:numId w:val="1"/>
              </w:numPr>
              <w:tabs>
                <w:tab w:val="left" w:pos="506"/>
              </w:tabs>
              <w:spacing w:after="160" w:line="259" w:lineRule="auto"/>
              <w:ind w:left="360"/>
              <w:rPr>
                <w:sz w:val="24"/>
                <w:szCs w:val="24"/>
              </w:rPr>
            </w:pPr>
            <w:r w:rsidRPr="00F60FB1">
              <w:rPr>
                <w:sz w:val="24"/>
                <w:szCs w:val="24"/>
              </w:rPr>
              <w:t>Sheffield Occupational Health Services (SOHS) - £3,200,000 (</w:t>
            </w:r>
            <w:r w:rsidR="0075520D" w:rsidRPr="00F60FB1">
              <w:rPr>
                <w:sz w:val="24"/>
                <w:szCs w:val="24"/>
              </w:rPr>
              <w:t>FEC C</w:t>
            </w:r>
            <w:r w:rsidRPr="00F60FB1">
              <w:rPr>
                <w:sz w:val="24"/>
                <w:szCs w:val="24"/>
              </w:rPr>
              <w:t>hair</w:t>
            </w:r>
            <w:r w:rsidR="0075520D" w:rsidRPr="00F60FB1">
              <w:rPr>
                <w:sz w:val="24"/>
                <w:szCs w:val="24"/>
              </w:rPr>
              <w:t>’s</w:t>
            </w:r>
            <w:r w:rsidRPr="00F60FB1">
              <w:rPr>
                <w:sz w:val="24"/>
                <w:szCs w:val="24"/>
              </w:rPr>
              <w:t xml:space="preserve"> action)</w:t>
            </w:r>
          </w:p>
          <w:p w14:paraId="72BE8FC8" w14:textId="77777777" w:rsidR="0067075A" w:rsidRPr="00F60FB1" w:rsidRDefault="0067075A" w:rsidP="00A72977">
            <w:pPr>
              <w:pStyle w:val="ListParagraph"/>
              <w:numPr>
                <w:ilvl w:val="0"/>
                <w:numId w:val="1"/>
              </w:numPr>
              <w:tabs>
                <w:tab w:val="left" w:pos="506"/>
              </w:tabs>
              <w:spacing w:after="160" w:line="259" w:lineRule="auto"/>
              <w:ind w:left="360"/>
              <w:rPr>
                <w:sz w:val="24"/>
                <w:szCs w:val="24"/>
              </w:rPr>
            </w:pPr>
            <w:r w:rsidRPr="00F60FB1">
              <w:rPr>
                <w:sz w:val="24"/>
                <w:szCs w:val="24"/>
              </w:rPr>
              <w:lastRenderedPageBreak/>
              <w:t>Virtual Learning Environment – TET (Blackboard) - £3,700,000</w:t>
            </w:r>
          </w:p>
          <w:p w14:paraId="139EF3BB" w14:textId="77777777" w:rsidR="0067075A" w:rsidRPr="00F60FB1" w:rsidRDefault="0067075A" w:rsidP="00A72977">
            <w:pPr>
              <w:pStyle w:val="ListParagraph"/>
              <w:numPr>
                <w:ilvl w:val="0"/>
                <w:numId w:val="1"/>
              </w:numPr>
              <w:tabs>
                <w:tab w:val="left" w:pos="506"/>
              </w:tabs>
              <w:spacing w:after="160" w:line="259" w:lineRule="auto"/>
              <w:ind w:left="360"/>
              <w:rPr>
                <w:sz w:val="24"/>
                <w:szCs w:val="24"/>
              </w:rPr>
            </w:pPr>
            <w:r w:rsidRPr="00F60FB1">
              <w:rPr>
                <w:sz w:val="24"/>
                <w:szCs w:val="24"/>
              </w:rPr>
              <w:t>Studiosity (variation) – additional £186,000 totalling £972,000</w:t>
            </w:r>
          </w:p>
          <w:p w14:paraId="53607C61" w14:textId="3B0D8DBD" w:rsidR="0067075A" w:rsidRPr="00F60FB1" w:rsidRDefault="0067075A" w:rsidP="00A72977">
            <w:pPr>
              <w:pStyle w:val="ListParagraph"/>
              <w:numPr>
                <w:ilvl w:val="0"/>
                <w:numId w:val="1"/>
              </w:numPr>
              <w:tabs>
                <w:tab w:val="left" w:pos="506"/>
              </w:tabs>
              <w:spacing w:after="160" w:line="259" w:lineRule="auto"/>
              <w:ind w:left="360"/>
              <w:rPr>
                <w:sz w:val="24"/>
                <w:szCs w:val="24"/>
              </w:rPr>
            </w:pPr>
            <w:r w:rsidRPr="00F60FB1">
              <w:rPr>
                <w:sz w:val="24"/>
                <w:szCs w:val="24"/>
              </w:rPr>
              <w:t>BlueSnap – Payment Services (online project) - £3,000,000 (</w:t>
            </w:r>
            <w:r w:rsidR="000B1BAF" w:rsidRPr="00F60FB1">
              <w:rPr>
                <w:sz w:val="24"/>
                <w:szCs w:val="24"/>
              </w:rPr>
              <w:t>B</w:t>
            </w:r>
            <w:r w:rsidRPr="00F60FB1">
              <w:rPr>
                <w:sz w:val="24"/>
                <w:szCs w:val="24"/>
              </w:rPr>
              <w:t xml:space="preserve">oard </w:t>
            </w:r>
            <w:r w:rsidR="000B1BAF" w:rsidRPr="00F60FB1">
              <w:rPr>
                <w:sz w:val="24"/>
                <w:szCs w:val="24"/>
              </w:rPr>
              <w:t>C</w:t>
            </w:r>
            <w:r w:rsidRPr="00F60FB1">
              <w:rPr>
                <w:sz w:val="24"/>
                <w:szCs w:val="24"/>
              </w:rPr>
              <w:t>hair’s action)</w:t>
            </w:r>
          </w:p>
        </w:tc>
      </w:tr>
      <w:tr w:rsidR="0067075A" w:rsidRPr="008A753B" w14:paraId="42E8C3FC" w14:textId="77777777" w:rsidTr="006D0830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DA630C" w14:textId="6BA290FC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lastRenderedPageBreak/>
              <w:t>FEC_2024_03_06_9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66C7E" w14:textId="11943680" w:rsidR="0067075A" w:rsidRPr="008A753B" w:rsidRDefault="0067075A" w:rsidP="0067075A">
            <w:pPr>
              <w:pStyle w:val="Heading2"/>
            </w:pPr>
            <w:r>
              <w:rPr>
                <w:bCs/>
                <w:szCs w:val="24"/>
              </w:rPr>
              <w:t>EQUALITY, EQUITY, DIVERSITY AND INCLUSION (EEDI) MATTERS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D1343" w14:textId="77A2D691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FEC_2024_03_06_P9</w:t>
            </w:r>
          </w:p>
        </w:tc>
      </w:tr>
      <w:tr w:rsidR="0067075A" w:rsidRPr="008A753B" w14:paraId="65C1101B" w14:textId="77777777" w:rsidTr="006D083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6B381CC" w14:textId="656C395E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14:paraId="34FD804A" w14:textId="517C1F3D" w:rsidR="0067075A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396A99">
              <w:rPr>
                <w:b/>
                <w:bCs/>
                <w:sz w:val="24"/>
                <w:szCs w:val="24"/>
              </w:rPr>
              <w:t>EEDI Framework:</w:t>
            </w:r>
            <w:r>
              <w:rPr>
                <w:sz w:val="24"/>
                <w:szCs w:val="24"/>
              </w:rPr>
              <w:t xml:space="preserve"> </w:t>
            </w:r>
            <w:r w:rsidR="000B1BAF">
              <w:rPr>
                <w:sz w:val="24"/>
                <w:szCs w:val="24"/>
              </w:rPr>
              <w:t>the Committee considered</w:t>
            </w:r>
            <w:r w:rsidRPr="00AE1127">
              <w:rPr>
                <w:sz w:val="24"/>
                <w:szCs w:val="24"/>
              </w:rPr>
              <w:t xml:space="preserve"> </w:t>
            </w:r>
            <w:r w:rsidR="000B1BAF">
              <w:rPr>
                <w:sz w:val="24"/>
                <w:szCs w:val="24"/>
              </w:rPr>
              <w:t xml:space="preserve">the </w:t>
            </w:r>
            <w:r w:rsidRPr="00AE1127">
              <w:rPr>
                <w:sz w:val="24"/>
                <w:szCs w:val="24"/>
              </w:rPr>
              <w:t>draft Framework</w:t>
            </w:r>
            <w:r w:rsidR="000B1B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B1BAF">
              <w:rPr>
                <w:sz w:val="24"/>
                <w:szCs w:val="24"/>
              </w:rPr>
              <w:t>which covered both</w:t>
            </w:r>
            <w:r>
              <w:rPr>
                <w:sz w:val="24"/>
                <w:szCs w:val="24"/>
              </w:rPr>
              <w:t xml:space="preserve"> students and staff</w:t>
            </w:r>
            <w:r w:rsidR="0022260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</w:t>
            </w:r>
            <w:r w:rsidR="000B1BAF">
              <w:rPr>
                <w:sz w:val="24"/>
                <w:szCs w:val="24"/>
              </w:rPr>
              <w:t>set</w:t>
            </w:r>
            <w:r>
              <w:rPr>
                <w:sz w:val="24"/>
                <w:szCs w:val="24"/>
              </w:rPr>
              <w:t xml:space="preserve"> the direction and priorities </w:t>
            </w:r>
            <w:r w:rsidR="00222606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EEDI work</w:t>
            </w:r>
            <w:r w:rsidDel="00D01D14">
              <w:rPr>
                <w:sz w:val="24"/>
                <w:szCs w:val="24"/>
              </w:rPr>
              <w:t xml:space="preserve"> </w:t>
            </w:r>
            <w:r w:rsidR="000B1BAF">
              <w:rPr>
                <w:sz w:val="24"/>
                <w:szCs w:val="24"/>
              </w:rPr>
              <w:t>around</w:t>
            </w:r>
            <w:r>
              <w:rPr>
                <w:sz w:val="24"/>
                <w:szCs w:val="24"/>
              </w:rPr>
              <w:t xml:space="preserve"> </w:t>
            </w:r>
            <w:r w:rsidR="00222606">
              <w:rPr>
                <w:sz w:val="24"/>
                <w:szCs w:val="24"/>
              </w:rPr>
              <w:t>the University’s</w:t>
            </w:r>
            <w:r>
              <w:rPr>
                <w:sz w:val="24"/>
                <w:szCs w:val="24"/>
              </w:rPr>
              <w:t xml:space="preserve"> vision, aims and equality objectives.</w:t>
            </w:r>
            <w:r w:rsidR="000B1B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Highlights</w:t>
            </w:r>
            <w:r w:rsidR="000B1BAF">
              <w:rPr>
                <w:sz w:val="24"/>
                <w:szCs w:val="24"/>
              </w:rPr>
              <w:t xml:space="preserve"> included</w:t>
            </w:r>
            <w:r>
              <w:rPr>
                <w:sz w:val="24"/>
                <w:szCs w:val="24"/>
              </w:rPr>
              <w:t xml:space="preserve">: </w:t>
            </w:r>
          </w:p>
          <w:p w14:paraId="46DBCD97" w14:textId="28CDB51C" w:rsidR="0067075A" w:rsidRPr="00396A99" w:rsidRDefault="000B1BAF" w:rsidP="00A729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75520D">
              <w:rPr>
                <w:sz w:val="24"/>
                <w:szCs w:val="24"/>
              </w:rPr>
              <w:t xml:space="preserve"> continued</w:t>
            </w:r>
            <w:r>
              <w:rPr>
                <w:sz w:val="24"/>
                <w:szCs w:val="24"/>
              </w:rPr>
              <w:t xml:space="preserve"> </w:t>
            </w:r>
            <w:r w:rsidR="0067075A" w:rsidRPr="00396A99">
              <w:rPr>
                <w:sz w:val="24"/>
                <w:szCs w:val="24"/>
              </w:rPr>
              <w:t xml:space="preserve">aspiration for </w:t>
            </w:r>
            <w:r>
              <w:rPr>
                <w:sz w:val="24"/>
                <w:szCs w:val="24"/>
              </w:rPr>
              <w:t xml:space="preserve">a </w:t>
            </w:r>
            <w:r w:rsidR="0067075A" w:rsidRPr="00396A99">
              <w:rPr>
                <w:sz w:val="24"/>
                <w:szCs w:val="24"/>
              </w:rPr>
              <w:t>culture of inclusion</w:t>
            </w:r>
            <w:r>
              <w:rPr>
                <w:sz w:val="24"/>
                <w:szCs w:val="24"/>
              </w:rPr>
              <w:t>;</w:t>
            </w:r>
          </w:p>
          <w:p w14:paraId="3B87ADFF" w14:textId="21C73769" w:rsidR="0067075A" w:rsidRPr="00396A99" w:rsidRDefault="000B1BAF" w:rsidP="00A729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67075A" w:rsidRPr="00396A99">
              <w:rPr>
                <w:sz w:val="24"/>
                <w:szCs w:val="24"/>
              </w:rPr>
              <w:t>refreshed set of equality objectives</w:t>
            </w:r>
            <w:r>
              <w:rPr>
                <w:sz w:val="24"/>
                <w:szCs w:val="24"/>
              </w:rPr>
              <w:t>; and</w:t>
            </w:r>
          </w:p>
          <w:p w14:paraId="5A835D01" w14:textId="58B41C66" w:rsidR="0067075A" w:rsidRPr="00396A99" w:rsidRDefault="000B1BAF" w:rsidP="00A729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extensive</w:t>
            </w:r>
            <w:r w:rsidR="0067075A" w:rsidRPr="00396A99">
              <w:rPr>
                <w:sz w:val="24"/>
                <w:szCs w:val="24"/>
              </w:rPr>
              <w:t xml:space="preserve"> consultation across the University</w:t>
            </w:r>
            <w:r>
              <w:rPr>
                <w:sz w:val="24"/>
                <w:szCs w:val="24"/>
              </w:rPr>
              <w:t xml:space="preserve"> in developing the </w:t>
            </w:r>
            <w:r w:rsidR="00964A01">
              <w:rPr>
                <w:sz w:val="24"/>
                <w:szCs w:val="24"/>
              </w:rPr>
              <w:t>Framework</w:t>
            </w:r>
            <w:r>
              <w:rPr>
                <w:sz w:val="24"/>
                <w:szCs w:val="24"/>
              </w:rPr>
              <w:t>;</w:t>
            </w:r>
          </w:p>
          <w:p w14:paraId="5F87547C" w14:textId="072A7F5A" w:rsidR="002A0E77" w:rsidRPr="00FA6439" w:rsidRDefault="00BD7555" w:rsidP="000B1BA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Pr="002A0E77">
              <w:rPr>
                <w:b/>
                <w:bCs/>
                <w:sz w:val="24"/>
                <w:szCs w:val="24"/>
              </w:rPr>
              <w:t>endorsed</w:t>
            </w:r>
            <w:r>
              <w:rPr>
                <w:sz w:val="24"/>
                <w:szCs w:val="24"/>
              </w:rPr>
              <w:t xml:space="preserve"> the </w:t>
            </w:r>
            <w:r w:rsidR="002A0E77">
              <w:rPr>
                <w:sz w:val="24"/>
                <w:szCs w:val="24"/>
              </w:rPr>
              <w:t>Framework for approval by the Board, noting the next steps to develop delivery plans and</w:t>
            </w:r>
            <w:r w:rsidR="00222606">
              <w:rPr>
                <w:sz w:val="24"/>
                <w:szCs w:val="24"/>
              </w:rPr>
              <w:t xml:space="preserve"> associated</w:t>
            </w:r>
            <w:r w:rsidR="002A0E77">
              <w:rPr>
                <w:sz w:val="24"/>
                <w:szCs w:val="24"/>
              </w:rPr>
              <w:t xml:space="preserve"> KPIs</w:t>
            </w:r>
            <w:r w:rsidR="002A0E77">
              <w:rPr>
                <w:bCs/>
                <w:sz w:val="24"/>
                <w:szCs w:val="24"/>
              </w:rPr>
              <w:t xml:space="preserve">. FEC </w:t>
            </w:r>
            <w:r w:rsidR="0075520D">
              <w:rPr>
                <w:sz w:val="24"/>
                <w:szCs w:val="24"/>
              </w:rPr>
              <w:t>commented</w:t>
            </w:r>
            <w:r>
              <w:rPr>
                <w:sz w:val="24"/>
                <w:szCs w:val="24"/>
              </w:rPr>
              <w:t xml:space="preserve"> </w:t>
            </w:r>
            <w:r w:rsidR="0075520D">
              <w:rPr>
                <w:sz w:val="24"/>
                <w:szCs w:val="24"/>
              </w:rPr>
              <w:t xml:space="preserve">that evidence of staff and student engagement with the Framework </w:t>
            </w:r>
            <w:r>
              <w:rPr>
                <w:sz w:val="24"/>
                <w:szCs w:val="24"/>
              </w:rPr>
              <w:t xml:space="preserve">in future papers </w:t>
            </w:r>
            <w:r w:rsidR="0075520D">
              <w:rPr>
                <w:sz w:val="24"/>
                <w:szCs w:val="24"/>
              </w:rPr>
              <w:t>would be helpful in monitoring its success</w:t>
            </w:r>
            <w:r>
              <w:rPr>
                <w:sz w:val="24"/>
                <w:szCs w:val="24"/>
              </w:rPr>
              <w:t xml:space="preserve">. </w:t>
            </w:r>
            <w:r w:rsidR="0067075A">
              <w:rPr>
                <w:sz w:val="24"/>
                <w:szCs w:val="24"/>
              </w:rPr>
              <w:t xml:space="preserve"> </w:t>
            </w:r>
          </w:p>
        </w:tc>
      </w:tr>
      <w:tr w:rsidR="0067075A" w:rsidRPr="008A753B" w14:paraId="3EF3F9A8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639D578B" w14:textId="7B381B14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EEA83DA" w14:textId="77777777" w:rsidR="00964A01" w:rsidRDefault="0067075A" w:rsidP="00964A01">
            <w:pPr>
              <w:spacing w:before="60" w:after="60"/>
              <w:rPr>
                <w:sz w:val="24"/>
                <w:szCs w:val="24"/>
              </w:rPr>
            </w:pPr>
            <w:r w:rsidRPr="00396A99">
              <w:rPr>
                <w:b/>
                <w:bCs/>
                <w:sz w:val="24"/>
                <w:szCs w:val="24"/>
              </w:rPr>
              <w:t>Annual E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396A99">
              <w:rPr>
                <w:b/>
                <w:bCs/>
                <w:sz w:val="24"/>
                <w:szCs w:val="24"/>
              </w:rPr>
              <w:t>DI Report</w:t>
            </w:r>
            <w:r>
              <w:rPr>
                <w:b/>
                <w:bCs/>
                <w:sz w:val="24"/>
                <w:szCs w:val="24"/>
              </w:rPr>
              <w:t xml:space="preserve"> 2022/23</w:t>
            </w:r>
            <w:r w:rsidRPr="00396A99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64A0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CPO</w:t>
            </w:r>
            <w:r w:rsidR="00964A01">
              <w:rPr>
                <w:sz w:val="24"/>
                <w:szCs w:val="24"/>
              </w:rPr>
              <w:t>/PVCD&amp;I</w:t>
            </w:r>
            <w:r>
              <w:rPr>
                <w:sz w:val="24"/>
                <w:szCs w:val="24"/>
              </w:rPr>
              <w:t xml:space="preserve"> presented highlights of the</w:t>
            </w:r>
            <w:r w:rsidR="00964A01">
              <w:rPr>
                <w:sz w:val="24"/>
                <w:szCs w:val="24"/>
              </w:rPr>
              <w:t xml:space="preserve"> report, </w:t>
            </w:r>
            <w:r>
              <w:rPr>
                <w:sz w:val="24"/>
                <w:szCs w:val="24"/>
              </w:rPr>
              <w:t>particularly</w:t>
            </w:r>
            <w:r w:rsidR="00964A01">
              <w:rPr>
                <w:sz w:val="24"/>
                <w:szCs w:val="24"/>
              </w:rPr>
              <w:t>:</w:t>
            </w:r>
          </w:p>
          <w:p w14:paraId="79ECCC8B" w14:textId="046446A9" w:rsidR="00964A01" w:rsidRPr="002A0E77" w:rsidRDefault="00964A01" w:rsidP="002A0E77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sz w:val="24"/>
                <w:szCs w:val="24"/>
              </w:rPr>
            </w:pPr>
            <w:r w:rsidRPr="002A0E77">
              <w:rPr>
                <w:sz w:val="24"/>
                <w:szCs w:val="24"/>
              </w:rPr>
              <w:t xml:space="preserve">an overview of progress towards the University’s vision of ‘Sheffield Hallam: A Culture of Inclusion’; </w:t>
            </w:r>
          </w:p>
          <w:p w14:paraId="2542FAB8" w14:textId="2732A53C" w:rsidR="00964A01" w:rsidRDefault="0067075A" w:rsidP="00A729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2310C4">
              <w:rPr>
                <w:sz w:val="24"/>
                <w:szCs w:val="24"/>
              </w:rPr>
              <w:t>achievements</w:t>
            </w:r>
            <w:r w:rsidR="00964A01">
              <w:rPr>
                <w:sz w:val="24"/>
                <w:szCs w:val="24"/>
              </w:rPr>
              <w:t xml:space="preserve"> </w:t>
            </w:r>
            <w:r w:rsidR="00964A01" w:rsidRPr="00964A01">
              <w:rPr>
                <w:sz w:val="24"/>
                <w:szCs w:val="24"/>
              </w:rPr>
              <w:t>against all five Equality Objectives</w:t>
            </w:r>
            <w:r w:rsidRPr="002310C4">
              <w:rPr>
                <w:sz w:val="24"/>
                <w:szCs w:val="24"/>
              </w:rPr>
              <w:t xml:space="preserve"> </w:t>
            </w:r>
            <w:r w:rsidR="00964A01">
              <w:rPr>
                <w:sz w:val="24"/>
                <w:szCs w:val="24"/>
              </w:rPr>
              <w:t>including:</w:t>
            </w:r>
          </w:p>
          <w:p w14:paraId="77B46711" w14:textId="77777777" w:rsidR="00964A01" w:rsidRPr="002310C4" w:rsidRDefault="00964A01" w:rsidP="00A7297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creation</w:t>
            </w:r>
            <w:r w:rsidRPr="002310C4">
              <w:rPr>
                <w:sz w:val="24"/>
                <w:szCs w:val="24"/>
              </w:rPr>
              <w:t xml:space="preserve"> of a new EEDI team</w:t>
            </w:r>
            <w:r>
              <w:rPr>
                <w:sz w:val="24"/>
                <w:szCs w:val="24"/>
              </w:rPr>
              <w:t xml:space="preserve"> to</w:t>
            </w:r>
            <w:r w:rsidRPr="002310C4">
              <w:rPr>
                <w:sz w:val="24"/>
                <w:szCs w:val="24"/>
              </w:rPr>
              <w:t xml:space="preserve"> provide operational and strategic oversight of staff and student EEDI;</w:t>
            </w:r>
          </w:p>
          <w:p w14:paraId="2DCA689A" w14:textId="11756A29" w:rsidR="0067075A" w:rsidRPr="002310C4" w:rsidRDefault="00964A01" w:rsidP="00A7297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range of </w:t>
            </w:r>
            <w:r w:rsidR="0067075A" w:rsidRPr="002310C4">
              <w:rPr>
                <w:sz w:val="24"/>
                <w:szCs w:val="24"/>
              </w:rPr>
              <w:t>Students’ Union</w:t>
            </w:r>
            <w:r>
              <w:rPr>
                <w:sz w:val="24"/>
                <w:szCs w:val="24"/>
              </w:rPr>
              <w:t xml:space="preserve"> successes</w:t>
            </w:r>
            <w:r w:rsidR="002A0E77">
              <w:rPr>
                <w:sz w:val="24"/>
                <w:szCs w:val="24"/>
              </w:rPr>
              <w:t>; and</w:t>
            </w:r>
          </w:p>
          <w:p w14:paraId="5151BDAF" w14:textId="2D1C0683" w:rsidR="0067075A" w:rsidRPr="002310C4" w:rsidRDefault="0067075A" w:rsidP="00A7297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 w:rsidRPr="002310C4">
              <w:rPr>
                <w:sz w:val="24"/>
                <w:szCs w:val="24"/>
              </w:rPr>
              <w:t>inclusive Curriculum Principles embedded through portfolio redevelopment</w:t>
            </w:r>
            <w:r w:rsidR="00964A01">
              <w:rPr>
                <w:sz w:val="24"/>
                <w:szCs w:val="24"/>
              </w:rPr>
              <w:t>; and</w:t>
            </w:r>
          </w:p>
          <w:p w14:paraId="32D867FC" w14:textId="08721D86" w:rsidR="00964A01" w:rsidRPr="00964A01" w:rsidRDefault="0067075A" w:rsidP="00A729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2310C4">
              <w:rPr>
                <w:sz w:val="24"/>
                <w:szCs w:val="24"/>
              </w:rPr>
              <w:t xml:space="preserve">areas </w:t>
            </w:r>
            <w:r>
              <w:rPr>
                <w:sz w:val="24"/>
                <w:szCs w:val="24"/>
              </w:rPr>
              <w:t>for further development</w:t>
            </w:r>
            <w:r w:rsidR="002A0E77">
              <w:rPr>
                <w:sz w:val="24"/>
                <w:szCs w:val="24"/>
              </w:rPr>
              <w:t>.</w:t>
            </w:r>
          </w:p>
          <w:p w14:paraId="094DE92A" w14:textId="69353860" w:rsidR="00BD7555" w:rsidRDefault="00964A01" w:rsidP="00964A0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Vice-Chancellor affirmed the University’s commitment to the EEDI agenda and members expressed their appreciation of the efforts to </w:t>
            </w:r>
            <w:r w:rsidR="00222606">
              <w:rPr>
                <w:sz w:val="24"/>
                <w:szCs w:val="24"/>
              </w:rPr>
              <w:t>maintain</w:t>
            </w:r>
            <w:r>
              <w:rPr>
                <w:sz w:val="24"/>
                <w:szCs w:val="24"/>
              </w:rPr>
              <w:t xml:space="preserve"> EEDI at the forefront of the University’s priorities</w:t>
            </w:r>
            <w:r w:rsidR="00BD7555">
              <w:rPr>
                <w:sz w:val="24"/>
                <w:szCs w:val="24"/>
              </w:rPr>
              <w:t>.</w:t>
            </w:r>
          </w:p>
          <w:p w14:paraId="2634497D" w14:textId="6D365CE1" w:rsidR="0067075A" w:rsidRPr="00DB62AB" w:rsidRDefault="00BD7555" w:rsidP="00964A0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suggested that Governors may benefit from a </w:t>
            </w:r>
            <w:r w:rsidR="3BC09A71" w:rsidRPr="6179A32C">
              <w:rPr>
                <w:sz w:val="24"/>
                <w:szCs w:val="24"/>
              </w:rPr>
              <w:t xml:space="preserve">briefing </w:t>
            </w:r>
            <w:r w:rsidR="008F2382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the new EEDI team.</w:t>
            </w:r>
          </w:p>
        </w:tc>
      </w:tr>
      <w:tr w:rsidR="0067075A" w:rsidRPr="008A753B" w14:paraId="246C1FCA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4A117B2B" w14:textId="67164160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1BAF0554" w14:textId="0795419C" w:rsidR="0067075A" w:rsidRPr="00396A99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b/>
                <w:bCs/>
                <w:sz w:val="24"/>
                <w:szCs w:val="24"/>
              </w:rPr>
              <w:t xml:space="preserve">recommend </w:t>
            </w:r>
            <w:r w:rsidRPr="002310C4">
              <w:rPr>
                <w:sz w:val="24"/>
                <w:szCs w:val="24"/>
              </w:rPr>
              <w:t>the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EEDI Report to the Board of Governors.</w:t>
            </w:r>
          </w:p>
        </w:tc>
      </w:tr>
      <w:tr w:rsidR="0067075A" w:rsidRPr="008A753B" w14:paraId="31F685BF" w14:textId="77777777" w:rsidTr="006D0830"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551FF5B" w14:textId="6E79CA7B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7" w:name="_Hlk146804242"/>
            <w:bookmarkStart w:id="8" w:name="_Hlk133261668"/>
            <w:bookmarkStart w:id="9" w:name="_Hlk146804200"/>
            <w:r>
              <w:t>FEC_2024_03_06_10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5BE4822" w14:textId="03410449" w:rsidR="0067075A" w:rsidRPr="0018252C" w:rsidRDefault="0067075A" w:rsidP="0067075A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252C">
              <w:rPr>
                <w:b/>
                <w:bCs/>
                <w:sz w:val="24"/>
                <w:szCs w:val="24"/>
              </w:rPr>
              <w:t>PEOPLE PLAN REPORT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FE226C7" w14:textId="7C5395EE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FEC_2024_03_06_P10</w:t>
            </w:r>
          </w:p>
        </w:tc>
      </w:tr>
      <w:tr w:rsidR="0067075A" w:rsidRPr="008A753B" w14:paraId="20A2BDB2" w14:textId="77777777" w:rsidTr="006D083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975C7FA" w14:textId="77777777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14:paraId="50FA5DB3" w14:textId="7FF21B13" w:rsidR="0067075A" w:rsidRDefault="0067075A" w:rsidP="0067075A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Senior Staff Group (SSG) pay review process:</w:t>
            </w:r>
          </w:p>
          <w:p w14:paraId="1685A8A0" w14:textId="39C0AC04" w:rsidR="0067075A" w:rsidRPr="0014141B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to </w:t>
            </w:r>
            <w:r w:rsidRPr="00411C63">
              <w:rPr>
                <w:b/>
                <w:bCs/>
                <w:sz w:val="24"/>
                <w:szCs w:val="24"/>
              </w:rPr>
              <w:t>approve</w:t>
            </w:r>
            <w:r w:rsidRPr="00B87C0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037B3">
              <w:rPr>
                <w:sz w:val="24"/>
                <w:szCs w:val="24"/>
              </w:rPr>
              <w:t>the removal of the non-consolidated bonus element of the SSG pay review process</w:t>
            </w:r>
            <w:r w:rsidR="00222606">
              <w:rPr>
                <w:sz w:val="24"/>
                <w:szCs w:val="24"/>
              </w:rPr>
              <w:t>,</w:t>
            </w:r>
            <w:r w:rsidRPr="006037B3">
              <w:rPr>
                <w:sz w:val="24"/>
                <w:szCs w:val="24"/>
              </w:rPr>
              <w:t xml:space="preserve"> </w:t>
            </w:r>
            <w:r w:rsidRPr="001C7DAD">
              <w:rPr>
                <w:color w:val="000000" w:themeColor="text1"/>
                <w:sz w:val="24"/>
                <w:szCs w:val="24"/>
              </w:rPr>
              <w:t>as recommended by the Remuneration Committee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7"/>
      <w:bookmarkEnd w:id="8"/>
      <w:bookmarkEnd w:id="9"/>
      <w:tr w:rsidR="0067075A" w:rsidRPr="008A753B" w14:paraId="1B112BE0" w14:textId="77777777" w:rsidTr="006D0830">
        <w:trPr>
          <w:trHeight w:val="1341"/>
        </w:trPr>
        <w:tc>
          <w:tcPr>
            <w:tcW w:w="1702" w:type="dxa"/>
            <w:tcBorders>
              <w:top w:val="nil"/>
              <w:bottom w:val="nil"/>
            </w:tcBorders>
          </w:tcPr>
          <w:p w14:paraId="04828D34" w14:textId="36CA689A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1F6FB220" w14:textId="071A3D70" w:rsidR="0067075A" w:rsidRPr="00C353EB" w:rsidRDefault="0067075A" w:rsidP="00BD7555">
            <w:pPr>
              <w:spacing w:before="60" w:after="60"/>
              <w:rPr>
                <w:rFonts w:eastAsiaTheme="majorEastAsia"/>
                <w:sz w:val="24"/>
                <w:szCs w:val="24"/>
              </w:rPr>
            </w:pP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>UKVI visit preparations: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D7555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BD7555" w:rsidRPr="00C353EB">
              <w:rPr>
                <w:rFonts w:eastAsiaTheme="majorEastAsia"/>
                <w:sz w:val="24"/>
                <w:szCs w:val="24"/>
              </w:rPr>
              <w:t xml:space="preserve">Committee congratulated </w:t>
            </w:r>
            <w:r w:rsidR="00BD7555">
              <w:rPr>
                <w:rFonts w:eastAsiaTheme="majorEastAsia"/>
                <w:sz w:val="24"/>
                <w:szCs w:val="24"/>
              </w:rPr>
              <w:t>HR</w:t>
            </w:r>
            <w:r w:rsidR="002A0E77">
              <w:rPr>
                <w:rFonts w:eastAsiaTheme="majorEastAsia"/>
                <w:sz w:val="24"/>
                <w:szCs w:val="24"/>
              </w:rPr>
              <w:t>O</w:t>
            </w:r>
            <w:r w:rsidR="00BD7555">
              <w:rPr>
                <w:rFonts w:eastAsiaTheme="majorEastAsia"/>
                <w:sz w:val="24"/>
                <w:szCs w:val="24"/>
              </w:rPr>
              <w:t xml:space="preserve">D </w:t>
            </w:r>
            <w:r>
              <w:rPr>
                <w:color w:val="000000" w:themeColor="text1"/>
                <w:sz w:val="24"/>
                <w:szCs w:val="24"/>
              </w:rPr>
              <w:t>on</w:t>
            </w:r>
            <w:r w:rsidR="00BD7555">
              <w:rPr>
                <w:color w:val="000000" w:themeColor="text1"/>
                <w:sz w:val="24"/>
                <w:szCs w:val="24"/>
              </w:rPr>
              <w:t xml:space="preserve"> the results of the mock audit of staff UKVI compliance which had been commissioned in response to the</w:t>
            </w:r>
            <w:r w:rsidRPr="003934B0">
              <w:rPr>
                <w:rStyle w:val="normaltextrun"/>
                <w:rFonts w:cstheme="minorHAnsi"/>
                <w:sz w:val="24"/>
                <w:szCs w:val="24"/>
              </w:rPr>
              <w:t xml:space="preserve"> </w:t>
            </w:r>
            <w:r w:rsidRPr="003934B0">
              <w:rPr>
                <w:rStyle w:val="normaltextrun"/>
                <w:sz w:val="24"/>
                <w:szCs w:val="24"/>
              </w:rPr>
              <w:t xml:space="preserve">changes </w:t>
            </w:r>
            <w:r w:rsidR="00222606">
              <w:rPr>
                <w:rStyle w:val="normaltextrun"/>
                <w:sz w:val="24"/>
                <w:szCs w:val="24"/>
              </w:rPr>
              <w:t>in</w:t>
            </w:r>
            <w:r w:rsidRPr="003934B0">
              <w:rPr>
                <w:rStyle w:val="normaltextrun"/>
                <w:sz w:val="24"/>
                <w:szCs w:val="24"/>
              </w:rPr>
              <w:t xml:space="preserve"> compliance and enforcement actions</w:t>
            </w:r>
            <w:r w:rsidR="00222606">
              <w:rPr>
                <w:rStyle w:val="normaltextrun"/>
                <w:sz w:val="24"/>
                <w:szCs w:val="24"/>
              </w:rPr>
              <w:t xml:space="preserve"> announced by the Home Office</w:t>
            </w:r>
            <w:r w:rsidR="00BD7555">
              <w:rPr>
                <w:rStyle w:val="normaltextrun"/>
                <w:sz w:val="24"/>
                <w:szCs w:val="24"/>
              </w:rPr>
              <w:t xml:space="preserve">. The </w:t>
            </w:r>
            <w:r>
              <w:rPr>
                <w:sz w:val="24"/>
                <w:szCs w:val="24"/>
              </w:rPr>
              <w:t xml:space="preserve">audit </w:t>
            </w:r>
            <w:r w:rsidR="00BD7555">
              <w:rPr>
                <w:sz w:val="24"/>
                <w:szCs w:val="24"/>
              </w:rPr>
              <w:t>had concluded</w:t>
            </w:r>
            <w:r>
              <w:rPr>
                <w:rStyle w:val="normaltextrun"/>
                <w:rFonts w:eastAsiaTheme="majorEastAsia"/>
                <w:sz w:val="24"/>
                <w:szCs w:val="24"/>
              </w:rPr>
              <w:t xml:space="preserve"> that </w:t>
            </w:r>
            <w:r w:rsidR="00BD7555">
              <w:rPr>
                <w:rStyle w:val="normaltextrun"/>
                <w:rFonts w:eastAsiaTheme="majorEastAsia"/>
                <w:sz w:val="24"/>
                <w:szCs w:val="24"/>
              </w:rPr>
              <w:t>the University’s</w:t>
            </w:r>
            <w:r>
              <w:rPr>
                <w:rStyle w:val="normaltextrun"/>
                <w:rFonts w:eastAsiaTheme="majorEastAsia"/>
                <w:sz w:val="24"/>
                <w:szCs w:val="24"/>
              </w:rPr>
              <w:t xml:space="preserve"> systems, processes, and procedures</w:t>
            </w:r>
            <w:r w:rsidR="00BD7555">
              <w:rPr>
                <w:rStyle w:val="normaltextrun"/>
                <w:rFonts w:eastAsiaTheme="majorEastAsia"/>
                <w:sz w:val="24"/>
                <w:szCs w:val="24"/>
              </w:rPr>
              <w:t xml:space="preserve"> in this area</w:t>
            </w:r>
            <w:r>
              <w:rPr>
                <w:rStyle w:val="normaltextrun"/>
                <w:rFonts w:eastAsiaTheme="majorEastAsia"/>
                <w:sz w:val="24"/>
                <w:szCs w:val="24"/>
              </w:rPr>
              <w:t xml:space="preserve"> </w:t>
            </w:r>
            <w:r w:rsidR="00222606">
              <w:rPr>
                <w:rStyle w:val="normaltextrun"/>
                <w:rFonts w:eastAsiaTheme="majorEastAsia"/>
                <w:sz w:val="24"/>
                <w:szCs w:val="24"/>
              </w:rPr>
              <w:t>demonstrated</w:t>
            </w:r>
            <w:r>
              <w:rPr>
                <w:rStyle w:val="normaltextrun"/>
                <w:rFonts w:eastAsiaTheme="majorEastAsia"/>
                <w:sz w:val="24"/>
                <w:szCs w:val="24"/>
              </w:rPr>
              <w:t xml:space="preserve"> the highest levels of compliance</w:t>
            </w:r>
            <w:r w:rsidR="00BD7555">
              <w:rPr>
                <w:rStyle w:val="normaltextrun"/>
                <w:rFonts w:eastAsiaTheme="majorEastAsia"/>
                <w:sz w:val="24"/>
                <w:szCs w:val="24"/>
              </w:rPr>
              <w:t xml:space="preserve"> and an </w:t>
            </w:r>
            <w:r>
              <w:rPr>
                <w:rStyle w:val="normaltextrun"/>
                <w:rFonts w:eastAsiaTheme="majorEastAsia"/>
                <w:sz w:val="24"/>
                <w:szCs w:val="24"/>
              </w:rPr>
              <w:t xml:space="preserve">example of best practice. </w:t>
            </w:r>
          </w:p>
        </w:tc>
      </w:tr>
      <w:tr w:rsidR="0067075A" w:rsidRPr="008A753B" w14:paraId="3C0048DF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54282CAA" w14:textId="672AED34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6D04B1C1" w14:textId="1AEA278B" w:rsidR="0004085C" w:rsidRDefault="0067075A" w:rsidP="0004085C">
            <w:pPr>
              <w:spacing w:before="60" w:after="60"/>
              <w:rPr>
                <w:sz w:val="24"/>
                <w:szCs w:val="24"/>
              </w:rPr>
            </w:pP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>Pulse Survey outcomes: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4085C">
              <w:rPr>
                <w:color w:val="000000" w:themeColor="text1"/>
                <w:sz w:val="24"/>
                <w:szCs w:val="24"/>
              </w:rPr>
              <w:t>the CPO/PVCDI reported on the highlights</w:t>
            </w:r>
            <w:r w:rsidR="002A0E7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of the most</w:t>
            </w:r>
            <w:r w:rsidR="0022260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recent staff survey</w:t>
            </w:r>
            <w:r w:rsidR="0004085C">
              <w:rPr>
                <w:color w:val="000000" w:themeColor="text1"/>
                <w:sz w:val="24"/>
                <w:szCs w:val="24"/>
              </w:rPr>
              <w:t xml:space="preserve"> which had f</w:t>
            </w:r>
            <w:r w:rsidRPr="00B121BF">
              <w:rPr>
                <w:sz w:val="24"/>
                <w:szCs w:val="24"/>
              </w:rPr>
              <w:t>ocused on Performance and Development Reviews (PDRs) and line management</w:t>
            </w:r>
            <w:r w:rsidR="0004085C">
              <w:rPr>
                <w:sz w:val="24"/>
                <w:szCs w:val="24"/>
              </w:rPr>
              <w:t>, particularly:</w:t>
            </w:r>
          </w:p>
          <w:p w14:paraId="7F426D17" w14:textId="7A2E0BFA" w:rsidR="0004085C" w:rsidRDefault="0004085C" w:rsidP="00A72977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/>
              <w:rPr>
                <w:sz w:val="24"/>
                <w:szCs w:val="24"/>
              </w:rPr>
            </w:pPr>
            <w:r w:rsidRPr="0004085C">
              <w:rPr>
                <w:sz w:val="24"/>
                <w:szCs w:val="24"/>
              </w:rPr>
              <w:t>t</w:t>
            </w:r>
            <w:r w:rsidR="0067075A" w:rsidRPr="0004085C">
              <w:rPr>
                <w:sz w:val="24"/>
                <w:szCs w:val="24"/>
              </w:rPr>
              <w:t>he</w:t>
            </w:r>
            <w:r w:rsidRPr="0004085C">
              <w:rPr>
                <w:sz w:val="24"/>
                <w:szCs w:val="24"/>
              </w:rPr>
              <w:t xml:space="preserve"> </w:t>
            </w:r>
            <w:r w:rsidR="0067075A" w:rsidRPr="0004085C">
              <w:rPr>
                <w:sz w:val="24"/>
                <w:szCs w:val="24"/>
              </w:rPr>
              <w:t>response rate of 40% (1652 employees)</w:t>
            </w:r>
            <w:r>
              <w:rPr>
                <w:sz w:val="24"/>
                <w:szCs w:val="24"/>
              </w:rPr>
              <w:t>;</w:t>
            </w:r>
          </w:p>
          <w:p w14:paraId="363C44E8" w14:textId="329A7139" w:rsidR="0004085C" w:rsidRDefault="0004085C" w:rsidP="00A72977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emerging </w:t>
            </w:r>
            <w:r w:rsidR="0067075A" w:rsidRPr="0004085C">
              <w:rPr>
                <w:sz w:val="24"/>
                <w:szCs w:val="24"/>
              </w:rPr>
              <w:t>themes from the free text questions including concerns about the current financial situation, the restrictions on staff recruitment</w:t>
            </w:r>
            <w:r>
              <w:rPr>
                <w:sz w:val="24"/>
                <w:szCs w:val="24"/>
              </w:rPr>
              <w:t xml:space="preserve">, </w:t>
            </w:r>
            <w:r w:rsidR="0067075A" w:rsidRPr="0004085C">
              <w:rPr>
                <w:sz w:val="24"/>
                <w:szCs w:val="24"/>
              </w:rPr>
              <w:t>the volume of change initiatives</w:t>
            </w:r>
            <w:r>
              <w:rPr>
                <w:sz w:val="24"/>
                <w:szCs w:val="24"/>
              </w:rPr>
              <w:t xml:space="preserve"> and positives around effective </w:t>
            </w:r>
            <w:r w:rsidR="0067075A" w:rsidRPr="0004085C">
              <w:rPr>
                <w:sz w:val="24"/>
                <w:szCs w:val="24"/>
              </w:rPr>
              <w:t>line management</w:t>
            </w:r>
            <w:r>
              <w:rPr>
                <w:sz w:val="24"/>
                <w:szCs w:val="24"/>
              </w:rPr>
              <w:t>;</w:t>
            </w:r>
          </w:p>
          <w:p w14:paraId="516B3560" w14:textId="51309F4A" w:rsidR="0004085C" w:rsidRDefault="0004085C" w:rsidP="00A72977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dissemination of t</w:t>
            </w:r>
            <w:r w:rsidR="0067075A" w:rsidRPr="00B121BF">
              <w:rPr>
                <w:sz w:val="24"/>
                <w:szCs w:val="24"/>
              </w:rPr>
              <w:t xml:space="preserve">he high-level survey results </w:t>
            </w:r>
            <w:r>
              <w:rPr>
                <w:sz w:val="24"/>
                <w:szCs w:val="24"/>
              </w:rPr>
              <w:t>with the</w:t>
            </w:r>
            <w:r w:rsidR="0067075A" w:rsidRPr="00B121BF">
              <w:rPr>
                <w:sz w:val="24"/>
                <w:szCs w:val="24"/>
              </w:rPr>
              <w:t xml:space="preserve"> Executive Leadership Team</w:t>
            </w:r>
            <w:r>
              <w:rPr>
                <w:sz w:val="24"/>
                <w:szCs w:val="24"/>
              </w:rPr>
              <w:t xml:space="preserve"> (ELT)</w:t>
            </w:r>
            <w:r w:rsidR="0067075A" w:rsidRPr="00B121BF">
              <w:rPr>
                <w:sz w:val="24"/>
                <w:szCs w:val="24"/>
              </w:rPr>
              <w:t xml:space="preserve"> and senior leader</w:t>
            </w:r>
            <w:r w:rsidR="0067075A">
              <w:rPr>
                <w:sz w:val="24"/>
                <w:szCs w:val="24"/>
              </w:rPr>
              <w:t>s</w:t>
            </w:r>
            <w:r w:rsidR="0067075A" w:rsidRPr="00B121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with </w:t>
            </w:r>
            <w:r w:rsidR="0067075A">
              <w:rPr>
                <w:sz w:val="24"/>
                <w:szCs w:val="24"/>
              </w:rPr>
              <w:t>staff</w:t>
            </w:r>
            <w:r w:rsidR="0067075A" w:rsidRPr="00B121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generally </w:t>
            </w:r>
            <w:r w:rsidR="0067075A" w:rsidRPr="00B121BF">
              <w:rPr>
                <w:sz w:val="24"/>
                <w:szCs w:val="24"/>
              </w:rPr>
              <w:t>through a Transforming Lives session</w:t>
            </w:r>
            <w:r>
              <w:rPr>
                <w:sz w:val="24"/>
                <w:szCs w:val="24"/>
              </w:rPr>
              <w:t>; and</w:t>
            </w:r>
          </w:p>
          <w:p w14:paraId="24466793" w14:textId="30DC06DE" w:rsidR="0067075A" w:rsidRPr="00DB62AB" w:rsidRDefault="0004085C" w:rsidP="00A72977">
            <w:pPr>
              <w:pStyle w:val="ListParagraph"/>
              <w:numPr>
                <w:ilvl w:val="0"/>
                <w:numId w:val="9"/>
              </w:numPr>
              <w:spacing w:before="60"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of the outcomes to further</w:t>
            </w:r>
            <w:r w:rsidR="0067075A" w:rsidRPr="00B121BF">
              <w:rPr>
                <w:sz w:val="24"/>
                <w:szCs w:val="24"/>
              </w:rPr>
              <w:t xml:space="preserve"> enhance the PDR process</w:t>
            </w:r>
            <w:r>
              <w:rPr>
                <w:sz w:val="24"/>
                <w:szCs w:val="24"/>
              </w:rPr>
              <w:t>.</w:t>
            </w:r>
          </w:p>
        </w:tc>
      </w:tr>
      <w:tr w:rsidR="0067075A" w:rsidRPr="008A753B" w14:paraId="2FFDF7BB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45616B75" w14:textId="6D6022D5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05B3484D" w14:textId="54F604D4" w:rsidR="0067075A" w:rsidRDefault="0067075A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 xml:space="preserve">ndustrial action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and p</w:t>
            </w: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>ay award negotiations: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B5FBA" w:rsidRPr="001B5FBA">
              <w:rPr>
                <w:color w:val="000000" w:themeColor="text1"/>
                <w:sz w:val="24"/>
                <w:szCs w:val="24"/>
              </w:rPr>
              <w:t>a confidential minute was recorded</w:t>
            </w:r>
            <w:r w:rsidRPr="001B5FBA">
              <w:rPr>
                <w:sz w:val="24"/>
                <w:szCs w:val="24"/>
              </w:rPr>
              <w:t>. UCU</w:t>
            </w:r>
            <w:r w:rsidRPr="008A694B">
              <w:rPr>
                <w:sz w:val="24"/>
                <w:szCs w:val="24"/>
              </w:rPr>
              <w:t xml:space="preserve"> </w:t>
            </w:r>
            <w:r w:rsidR="0004085C">
              <w:rPr>
                <w:sz w:val="24"/>
                <w:szCs w:val="24"/>
              </w:rPr>
              <w:t>was</w:t>
            </w:r>
            <w:r w:rsidRPr="008A694B">
              <w:rPr>
                <w:sz w:val="24"/>
                <w:szCs w:val="24"/>
              </w:rPr>
              <w:t xml:space="preserve"> consulting members on</w:t>
            </w:r>
            <w:r w:rsidR="00222606">
              <w:rPr>
                <w:sz w:val="24"/>
                <w:szCs w:val="24"/>
              </w:rPr>
              <w:t xml:space="preserve"> </w:t>
            </w:r>
            <w:r w:rsidRPr="008A694B">
              <w:rPr>
                <w:sz w:val="24"/>
                <w:szCs w:val="24"/>
              </w:rPr>
              <w:t>balloting for industrial action</w:t>
            </w:r>
            <w:r w:rsidR="0004085C">
              <w:rPr>
                <w:sz w:val="24"/>
                <w:szCs w:val="24"/>
              </w:rPr>
              <w:t>; the b</w:t>
            </w:r>
            <w:r>
              <w:rPr>
                <w:sz w:val="24"/>
                <w:szCs w:val="24"/>
              </w:rPr>
              <w:t xml:space="preserve">allot </w:t>
            </w:r>
            <w:r w:rsidR="0004085C">
              <w:rPr>
                <w:sz w:val="24"/>
                <w:szCs w:val="24"/>
              </w:rPr>
              <w:t>was due to</w:t>
            </w:r>
            <w:r>
              <w:rPr>
                <w:sz w:val="24"/>
                <w:szCs w:val="24"/>
              </w:rPr>
              <w:t xml:space="preserve"> close on 14 April and</w:t>
            </w:r>
            <w:r w:rsidR="0004085C">
              <w:rPr>
                <w:sz w:val="24"/>
                <w:szCs w:val="24"/>
              </w:rPr>
              <w:t xml:space="preserve">, if secured, the </w:t>
            </w:r>
            <w:r>
              <w:rPr>
                <w:sz w:val="24"/>
                <w:szCs w:val="24"/>
              </w:rPr>
              <w:t xml:space="preserve">mandate </w:t>
            </w:r>
            <w:r w:rsidR="0004085C">
              <w:rPr>
                <w:sz w:val="24"/>
                <w:szCs w:val="24"/>
              </w:rPr>
              <w:t>would</w:t>
            </w:r>
            <w:r>
              <w:rPr>
                <w:sz w:val="24"/>
                <w:szCs w:val="24"/>
              </w:rPr>
              <w:t xml:space="preserve"> run until Oct</w:t>
            </w:r>
            <w:r w:rsidR="0004085C">
              <w:rPr>
                <w:sz w:val="24"/>
                <w:szCs w:val="24"/>
              </w:rPr>
              <w:t>ober</w:t>
            </w:r>
            <w:r>
              <w:rPr>
                <w:sz w:val="24"/>
                <w:szCs w:val="24"/>
              </w:rPr>
              <w:t>.</w:t>
            </w:r>
            <w:r w:rsidRPr="008A694B">
              <w:rPr>
                <w:sz w:val="24"/>
                <w:szCs w:val="24"/>
              </w:rPr>
              <w:t xml:space="preserve"> </w:t>
            </w:r>
            <w:r w:rsidR="0004085C">
              <w:rPr>
                <w:sz w:val="24"/>
                <w:szCs w:val="24"/>
              </w:rPr>
              <w:t>However,</w:t>
            </w:r>
            <w:r w:rsidRPr="00C353EB">
              <w:rPr>
                <w:sz w:val="24"/>
                <w:szCs w:val="24"/>
              </w:rPr>
              <w:t xml:space="preserve"> Unison had failed to secure a mandate for industrial action over the 2023/24 pay dispute in its recent ballot.</w:t>
            </w:r>
            <w:r w:rsidRPr="00FD408C">
              <w:rPr>
                <w:sz w:val="24"/>
                <w:szCs w:val="24"/>
              </w:rPr>
              <w:t xml:space="preserve"> </w:t>
            </w:r>
          </w:p>
          <w:p w14:paraId="456432CF" w14:textId="760C3D70" w:rsidR="0067075A" w:rsidRPr="00FD408C" w:rsidRDefault="0004085C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were appraised of the </w:t>
            </w:r>
            <w:r w:rsidR="0067075A" w:rsidRPr="00C353EB">
              <w:rPr>
                <w:sz w:val="24"/>
                <w:szCs w:val="24"/>
              </w:rPr>
              <w:t xml:space="preserve">UEB </w:t>
            </w:r>
            <w:r>
              <w:rPr>
                <w:sz w:val="24"/>
                <w:szCs w:val="24"/>
              </w:rPr>
              <w:t>decision to participate</w:t>
            </w:r>
            <w:r w:rsidR="0067075A" w:rsidRPr="00C353EB">
              <w:rPr>
                <w:sz w:val="24"/>
                <w:szCs w:val="24"/>
              </w:rPr>
              <w:t xml:space="preserve"> in the UCEA 2024/25 national pay negotiations.</w:t>
            </w:r>
            <w:r w:rsidR="0067075A">
              <w:rPr>
                <w:sz w:val="24"/>
                <w:szCs w:val="24"/>
              </w:rPr>
              <w:t xml:space="preserve"> </w:t>
            </w:r>
          </w:p>
        </w:tc>
      </w:tr>
      <w:tr w:rsidR="0067075A" w:rsidRPr="008A753B" w14:paraId="68743910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55F72543" w14:textId="1B700001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446BE9AF" w14:textId="77777777" w:rsidR="001B5FBA" w:rsidRDefault="0067075A" w:rsidP="0067075A">
            <w:pPr>
              <w:spacing w:before="60" w:after="60"/>
              <w:rPr>
                <w:sz w:val="24"/>
                <w:szCs w:val="24"/>
              </w:rPr>
            </w:pPr>
            <w:r w:rsidRPr="006037B3">
              <w:rPr>
                <w:b/>
                <w:bCs/>
                <w:sz w:val="24"/>
                <w:szCs w:val="24"/>
              </w:rPr>
              <w:t>A</w:t>
            </w: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>cademic workforce change programmes:</w:t>
            </w:r>
            <w:r w:rsidR="00A72977">
              <w:rPr>
                <w:color w:val="000000" w:themeColor="text1"/>
                <w:sz w:val="24"/>
                <w:szCs w:val="24"/>
              </w:rPr>
              <w:t xml:space="preserve"> FEC received an update on the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Voluntary Severance Scheme</w:t>
            </w:r>
            <w:r w:rsidR="00A72977">
              <w:rPr>
                <w:sz w:val="24"/>
                <w:szCs w:val="24"/>
              </w:rPr>
              <w:t xml:space="preserve"> (VSS)</w:t>
            </w:r>
            <w:r>
              <w:rPr>
                <w:sz w:val="24"/>
                <w:szCs w:val="24"/>
              </w:rPr>
              <w:t xml:space="preserve">, which </w:t>
            </w:r>
            <w:r w:rsidR="00A72977">
              <w:rPr>
                <w:sz w:val="24"/>
                <w:szCs w:val="24"/>
              </w:rPr>
              <w:t>had c</w:t>
            </w:r>
            <w:r>
              <w:rPr>
                <w:sz w:val="24"/>
                <w:szCs w:val="24"/>
              </w:rPr>
              <w:t>losed on Thursday 22 February 2024</w:t>
            </w:r>
            <w:r w:rsidR="001B5FBA">
              <w:rPr>
                <w:sz w:val="24"/>
                <w:szCs w:val="24"/>
              </w:rPr>
              <w:t>. A confidential minute was recorded</w:t>
            </w:r>
            <w:r w:rsidRPr="001B5F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55D5435" w14:textId="34B8D023" w:rsidR="0067075A" w:rsidRPr="001B5FBA" w:rsidRDefault="0067075A" w:rsidP="0067075A">
            <w:pPr>
              <w:spacing w:before="60" w:after="6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Some </w:t>
            </w:r>
            <w:r w:rsidR="00A72977">
              <w:rPr>
                <w:sz w:val="24"/>
                <w:szCs w:val="24"/>
              </w:rPr>
              <w:t>staff had already left the University and others were tr</w:t>
            </w:r>
            <w:r>
              <w:rPr>
                <w:sz w:val="24"/>
                <w:szCs w:val="24"/>
              </w:rPr>
              <w:t xml:space="preserve">ansitioning out of the workforce to </w:t>
            </w:r>
            <w:r w:rsidR="00A72977">
              <w:rPr>
                <w:sz w:val="24"/>
                <w:szCs w:val="24"/>
              </w:rPr>
              <w:t xml:space="preserve">minimise disruption to teaching and </w:t>
            </w:r>
            <w:r>
              <w:rPr>
                <w:sz w:val="24"/>
                <w:szCs w:val="24"/>
              </w:rPr>
              <w:t xml:space="preserve">maintain </w:t>
            </w:r>
            <w:r w:rsidR="00A7297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student experience. </w:t>
            </w:r>
            <w:r w:rsidR="00A72977">
              <w:rPr>
                <w:sz w:val="24"/>
                <w:szCs w:val="24"/>
              </w:rPr>
              <w:t xml:space="preserve"> </w:t>
            </w:r>
          </w:p>
        </w:tc>
      </w:tr>
      <w:tr w:rsidR="001B5FBA" w:rsidRPr="008A753B" w14:paraId="6E4669D4" w14:textId="77777777" w:rsidTr="001B5FBA">
        <w:tc>
          <w:tcPr>
            <w:tcW w:w="1702" w:type="dxa"/>
            <w:tcBorders>
              <w:top w:val="nil"/>
              <w:bottom w:val="nil"/>
            </w:tcBorders>
          </w:tcPr>
          <w:p w14:paraId="35B76CF2" w14:textId="605EDC60" w:rsidR="001B5FBA" w:rsidRDefault="001B5FB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58DB4081" w14:textId="7D796230" w:rsidR="001B5FBA" w:rsidRPr="001B5FBA" w:rsidRDefault="001B5FBA" w:rsidP="0067075A">
            <w:pPr>
              <w:spacing w:before="60" w:after="60"/>
              <w:rPr>
                <w:sz w:val="24"/>
                <w:szCs w:val="24"/>
              </w:rPr>
            </w:pPr>
            <w:r w:rsidRPr="001B5FBA">
              <w:rPr>
                <w:sz w:val="24"/>
                <w:szCs w:val="24"/>
              </w:rPr>
              <w:t xml:space="preserve">A confidential minute was recorded. </w:t>
            </w:r>
          </w:p>
        </w:tc>
      </w:tr>
      <w:tr w:rsidR="001B5FBA" w:rsidRPr="008A753B" w14:paraId="1E10F226" w14:textId="77777777" w:rsidTr="001B5FBA">
        <w:tc>
          <w:tcPr>
            <w:tcW w:w="1702" w:type="dxa"/>
            <w:tcBorders>
              <w:top w:val="nil"/>
              <w:bottom w:val="nil"/>
            </w:tcBorders>
          </w:tcPr>
          <w:p w14:paraId="7A1367E9" w14:textId="7C344CF6" w:rsidR="001B5FBA" w:rsidRDefault="001B5FB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7A364F28" w14:textId="77777777" w:rsidR="001B5FBA" w:rsidRDefault="001B5FBA" w:rsidP="001B5FB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commented on the importance of ensuring </w:t>
            </w:r>
            <w:r w:rsidRPr="00A72977">
              <w:rPr>
                <w:sz w:val="24"/>
                <w:szCs w:val="24"/>
              </w:rPr>
              <w:t>appropriate training and development</w:t>
            </w:r>
            <w:r>
              <w:rPr>
                <w:sz w:val="24"/>
                <w:szCs w:val="24"/>
              </w:rPr>
              <w:t xml:space="preserve"> was</w:t>
            </w:r>
            <w:r w:rsidRPr="00A72977">
              <w:rPr>
                <w:sz w:val="24"/>
                <w:szCs w:val="24"/>
              </w:rPr>
              <w:t xml:space="preserve"> in place </w:t>
            </w:r>
            <w:r>
              <w:rPr>
                <w:sz w:val="24"/>
                <w:szCs w:val="24"/>
              </w:rPr>
              <w:t xml:space="preserve">for </w:t>
            </w:r>
            <w:r w:rsidRPr="00A72977">
              <w:rPr>
                <w:sz w:val="24"/>
                <w:szCs w:val="24"/>
              </w:rPr>
              <w:t>individuals in new leadership roles</w:t>
            </w:r>
            <w:r>
              <w:rPr>
                <w:sz w:val="24"/>
                <w:szCs w:val="24"/>
              </w:rPr>
              <w:t>, noting that c</w:t>
            </w:r>
            <w:r w:rsidRPr="00A72977">
              <w:rPr>
                <w:sz w:val="24"/>
                <w:szCs w:val="24"/>
              </w:rPr>
              <w:t xml:space="preserve">oaching and mentoring </w:t>
            </w:r>
            <w:r>
              <w:rPr>
                <w:sz w:val="24"/>
                <w:szCs w:val="24"/>
              </w:rPr>
              <w:t>would</w:t>
            </w:r>
            <w:r w:rsidRPr="00A72977">
              <w:rPr>
                <w:sz w:val="24"/>
                <w:szCs w:val="24"/>
              </w:rPr>
              <w:t xml:space="preserve"> also be offered.</w:t>
            </w:r>
            <w:r>
              <w:rPr>
                <w:sz w:val="24"/>
                <w:szCs w:val="24"/>
              </w:rPr>
              <w:t xml:space="preserve"> The CPO/PVCDI also confirmed that support for HROD colleagues was available. </w:t>
            </w:r>
          </w:p>
          <w:p w14:paraId="558658FE" w14:textId="1087B628" w:rsidR="001B5FBA" w:rsidRPr="006037B3" w:rsidRDefault="001B5FBA" w:rsidP="001B5FBA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MB noted that a communication to the Board providing an update on the College change proposals would be circulated shortly.</w:t>
            </w:r>
          </w:p>
        </w:tc>
      </w:tr>
      <w:tr w:rsidR="0067075A" w:rsidRPr="008A753B" w14:paraId="56DB424D" w14:textId="77777777" w:rsidTr="006D0830"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6C9FB8D" w14:textId="34B3936E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FEC_2024_03_06_11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DC45A3E" w14:textId="30C79329" w:rsidR="0067075A" w:rsidRPr="006037B3" w:rsidRDefault="0067075A" w:rsidP="0067075A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REVISIONS TO THE </w:t>
            </w:r>
            <w:r w:rsidRPr="00796F89">
              <w:rPr>
                <w:b/>
                <w:bCs/>
                <w:color w:val="000000" w:themeColor="text1"/>
                <w:sz w:val="24"/>
                <w:szCs w:val="24"/>
              </w:rPr>
              <w:t xml:space="preserve">ANNUAL BUSINESS CYCLE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0C6D4B7" w14:textId="71ABEDFF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FEC_2024_03_06_P11</w:t>
            </w:r>
          </w:p>
        </w:tc>
      </w:tr>
      <w:tr w:rsidR="0067075A" w:rsidRPr="008A753B" w14:paraId="13363982" w14:textId="77777777" w:rsidTr="006D0830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348B6B4D" w14:textId="7730DBE1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14:paraId="5A31B48A" w14:textId="23C50CE0" w:rsidR="0067075A" w:rsidRDefault="00003413" w:rsidP="0067075A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University Secretary presented proposals</w:t>
            </w:r>
            <w:r w:rsidR="0067075A">
              <w:rPr>
                <w:color w:val="000000" w:themeColor="text1"/>
                <w:sz w:val="24"/>
                <w:szCs w:val="24"/>
              </w:rPr>
              <w:t xml:space="preserve"> in relation to Committee reporting in response to Board feedback on </w:t>
            </w:r>
            <w:bookmarkStart w:id="10" w:name="_Hlk161910235"/>
            <w:r>
              <w:rPr>
                <w:color w:val="000000" w:themeColor="text1"/>
                <w:sz w:val="24"/>
                <w:szCs w:val="24"/>
              </w:rPr>
              <w:t>rationalising</w:t>
            </w:r>
            <w:r w:rsidR="0067075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67075A">
              <w:rPr>
                <w:color w:val="000000" w:themeColor="text1"/>
                <w:sz w:val="24"/>
                <w:szCs w:val="24"/>
              </w:rPr>
              <w:t xml:space="preserve">Committee </w:t>
            </w:r>
            <w:r>
              <w:rPr>
                <w:color w:val="000000" w:themeColor="text1"/>
                <w:sz w:val="24"/>
                <w:szCs w:val="24"/>
              </w:rPr>
              <w:t>cycles of business</w:t>
            </w:r>
            <w:r w:rsidR="00617BE4">
              <w:rPr>
                <w:color w:val="000000" w:themeColor="text1"/>
                <w:sz w:val="24"/>
                <w:szCs w:val="24"/>
              </w:rPr>
              <w:t>. Key changes included: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A4052A1" w14:textId="598BA6FE" w:rsidR="005D0143" w:rsidRDefault="005D0143" w:rsidP="005D0143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to replace the regular</w:t>
            </w:r>
            <w:r w:rsidRPr="005D014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Estates Development and Digital Re</w:t>
            </w:r>
            <w:r w:rsidRPr="005D0143">
              <w:rPr>
                <w:rFonts w:eastAsia="Times New Roman"/>
                <w:sz w:val="24"/>
                <w:szCs w:val="24"/>
              </w:rPr>
              <w:t xml:space="preserve">ports </w:t>
            </w:r>
            <w:r>
              <w:rPr>
                <w:rFonts w:eastAsia="Times New Roman"/>
                <w:sz w:val="24"/>
                <w:szCs w:val="24"/>
              </w:rPr>
              <w:t xml:space="preserve">with </w:t>
            </w:r>
            <w:r w:rsidR="0067075A" w:rsidRPr="005D0143">
              <w:rPr>
                <w:rFonts w:eastAsia="Times New Roman"/>
                <w:sz w:val="24"/>
                <w:szCs w:val="24"/>
              </w:rPr>
              <w:t>bi-annual reports in November and May</w:t>
            </w:r>
            <w:r>
              <w:rPr>
                <w:rFonts w:eastAsia="Times New Roman"/>
                <w:sz w:val="24"/>
                <w:szCs w:val="24"/>
              </w:rPr>
              <w:t xml:space="preserve"> which would provide for:</w:t>
            </w:r>
          </w:p>
          <w:p w14:paraId="03596073" w14:textId="10831979" w:rsidR="0067075A" w:rsidRPr="005D0143" w:rsidRDefault="005D0143" w:rsidP="005D0143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 an</w:t>
            </w:r>
            <w:r w:rsidRPr="005D0143">
              <w:rPr>
                <w:rFonts w:eastAsia="Times New Roman"/>
                <w:sz w:val="24"/>
                <w:szCs w:val="24"/>
              </w:rPr>
              <w:t>nual</w:t>
            </w:r>
            <w:r w:rsidR="0067075A" w:rsidRPr="005D0143">
              <w:rPr>
                <w:rFonts w:eastAsia="Times New Roman"/>
                <w:sz w:val="24"/>
                <w:szCs w:val="24"/>
              </w:rPr>
              <w:t xml:space="preserve"> sign-off of projects for the coming year in the forward capital plan </w:t>
            </w:r>
            <w:r>
              <w:rPr>
                <w:rFonts w:eastAsia="Times New Roman"/>
                <w:sz w:val="24"/>
                <w:szCs w:val="24"/>
              </w:rPr>
              <w:t>in May (facilitated by the introduction of a project/approval tracker</w:t>
            </w:r>
            <w:r w:rsidR="00467B37">
              <w:rPr>
                <w:rFonts w:eastAsia="Times New Roman"/>
                <w:sz w:val="24"/>
                <w:szCs w:val="24"/>
              </w:rPr>
              <w:t>); and</w:t>
            </w:r>
          </w:p>
          <w:p w14:paraId="10327A97" w14:textId="07537DC2" w:rsidR="0067075A" w:rsidRPr="00003413" w:rsidRDefault="00003413" w:rsidP="005D0143">
            <w:pPr>
              <w:pStyle w:val="ListParagraph"/>
              <w:numPr>
                <w:ilvl w:val="0"/>
                <w:numId w:val="17"/>
              </w:numPr>
              <w:tabs>
                <w:tab w:val="left" w:pos="74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an annual update on the Hallam Alliance in </w:t>
            </w:r>
            <w:r w:rsidR="00467B37">
              <w:rPr>
                <w:rFonts w:eastAsia="Times New Roman"/>
                <w:sz w:val="24"/>
                <w:szCs w:val="24"/>
              </w:rPr>
              <w:t xml:space="preserve">the </w:t>
            </w:r>
            <w:r>
              <w:rPr>
                <w:rFonts w:eastAsia="Times New Roman"/>
                <w:sz w:val="24"/>
                <w:szCs w:val="24"/>
              </w:rPr>
              <w:t>November</w:t>
            </w:r>
            <w:r w:rsidR="00467B37">
              <w:rPr>
                <w:rFonts w:eastAsia="Times New Roman"/>
                <w:sz w:val="24"/>
                <w:szCs w:val="24"/>
              </w:rPr>
              <w:t xml:space="preserve"> Estates Report</w:t>
            </w:r>
            <w:r w:rsidR="0067075A" w:rsidRPr="00003413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0D99F471" w14:textId="0C65CF51" w:rsidR="00467B37" w:rsidRDefault="0067075A" w:rsidP="00467B37">
            <w:pPr>
              <w:pStyle w:val="ListParagraph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rFonts w:eastAsia="Times New Roman"/>
                <w:sz w:val="24"/>
                <w:szCs w:val="24"/>
              </w:rPr>
            </w:pPr>
            <w:r w:rsidRPr="005D0143">
              <w:rPr>
                <w:rFonts w:eastAsia="Times New Roman"/>
                <w:sz w:val="24"/>
                <w:szCs w:val="24"/>
              </w:rPr>
              <w:t xml:space="preserve"> </w:t>
            </w:r>
            <w:r w:rsidR="00467B37" w:rsidRPr="005D0143">
              <w:rPr>
                <w:rFonts w:eastAsia="Times New Roman"/>
                <w:sz w:val="24"/>
                <w:szCs w:val="24"/>
              </w:rPr>
              <w:t xml:space="preserve">to </w:t>
            </w:r>
            <w:r w:rsidR="00467B37">
              <w:rPr>
                <w:rFonts w:eastAsia="Times New Roman"/>
                <w:sz w:val="24"/>
                <w:szCs w:val="24"/>
              </w:rPr>
              <w:t>reduce the frequency of the pensions and investment updates to annual (in September and November respectively).</w:t>
            </w:r>
          </w:p>
          <w:p w14:paraId="63A02EF4" w14:textId="3B5033A7" w:rsidR="0067075A" w:rsidRPr="00467B37" w:rsidRDefault="00003413" w:rsidP="00662BCF">
            <w:pPr>
              <w:spacing w:after="60"/>
              <w:rPr>
                <w:rFonts w:eastAsia="Times New Roman"/>
                <w:sz w:val="24"/>
                <w:szCs w:val="24"/>
              </w:rPr>
            </w:pPr>
            <w:r w:rsidRPr="00467B37">
              <w:rPr>
                <w:rFonts w:eastAsia="Times New Roman"/>
                <w:sz w:val="24"/>
                <w:szCs w:val="24"/>
              </w:rPr>
              <w:t>Member</w:t>
            </w:r>
            <w:r w:rsidR="00467B37" w:rsidRPr="00467B37">
              <w:rPr>
                <w:rFonts w:eastAsia="Times New Roman"/>
                <w:sz w:val="24"/>
                <w:szCs w:val="24"/>
              </w:rPr>
              <w:t>s w</w:t>
            </w:r>
            <w:r w:rsidR="00617BE4" w:rsidRPr="00467B37">
              <w:rPr>
                <w:rFonts w:eastAsia="Times New Roman"/>
                <w:sz w:val="24"/>
                <w:szCs w:val="24"/>
              </w:rPr>
              <w:t>ere</w:t>
            </w:r>
            <w:r w:rsidRPr="00467B37">
              <w:rPr>
                <w:rFonts w:eastAsia="Times New Roman"/>
                <w:sz w:val="24"/>
                <w:szCs w:val="24"/>
              </w:rPr>
              <w:t xml:space="preserve"> assured </w:t>
            </w:r>
            <w:r w:rsidR="00467B37">
              <w:rPr>
                <w:rFonts w:eastAsia="Times New Roman"/>
                <w:sz w:val="24"/>
                <w:szCs w:val="24"/>
              </w:rPr>
              <w:t>that</w:t>
            </w:r>
            <w:r w:rsidR="0067075A" w:rsidRPr="00467B37">
              <w:rPr>
                <w:rFonts w:eastAsia="Times New Roman"/>
                <w:sz w:val="24"/>
                <w:szCs w:val="24"/>
              </w:rPr>
              <w:t xml:space="preserve"> ad hoc papers </w:t>
            </w:r>
            <w:r w:rsidR="00467B37">
              <w:rPr>
                <w:rFonts w:eastAsia="Times New Roman"/>
                <w:sz w:val="24"/>
                <w:szCs w:val="24"/>
              </w:rPr>
              <w:t xml:space="preserve">would be presented in addition to the above </w:t>
            </w:r>
            <w:r w:rsidR="0067075A" w:rsidRPr="00467B37">
              <w:rPr>
                <w:rFonts w:eastAsia="Times New Roman"/>
                <w:sz w:val="24"/>
                <w:szCs w:val="24"/>
              </w:rPr>
              <w:t xml:space="preserve">as and when approvals </w:t>
            </w:r>
            <w:r w:rsidRPr="00467B37">
              <w:rPr>
                <w:rFonts w:eastAsia="Times New Roman"/>
                <w:sz w:val="24"/>
                <w:szCs w:val="24"/>
              </w:rPr>
              <w:t>were</w:t>
            </w:r>
            <w:r w:rsidR="0067075A" w:rsidRPr="00467B37">
              <w:rPr>
                <w:rFonts w:eastAsia="Times New Roman"/>
                <w:sz w:val="24"/>
                <w:szCs w:val="24"/>
              </w:rPr>
              <w:t xml:space="preserve"> required</w:t>
            </w:r>
            <w:r w:rsidR="008F2382">
              <w:rPr>
                <w:rFonts w:eastAsia="Times New Roman"/>
                <w:sz w:val="24"/>
                <w:szCs w:val="24"/>
              </w:rPr>
              <w:t>,</w:t>
            </w:r>
            <w:r w:rsidR="00617BE4" w:rsidRPr="00467B37">
              <w:rPr>
                <w:rFonts w:eastAsia="Times New Roman"/>
                <w:sz w:val="24"/>
                <w:szCs w:val="24"/>
              </w:rPr>
              <w:t xml:space="preserve"> or </w:t>
            </w:r>
            <w:r w:rsidR="0067075A" w:rsidRPr="00467B37">
              <w:rPr>
                <w:rFonts w:eastAsia="Times New Roman"/>
                <w:sz w:val="24"/>
                <w:szCs w:val="24"/>
              </w:rPr>
              <w:t>significant developments occur</w:t>
            </w:r>
            <w:r w:rsidRPr="00467B37">
              <w:rPr>
                <w:rFonts w:eastAsia="Times New Roman"/>
                <w:sz w:val="24"/>
                <w:szCs w:val="24"/>
              </w:rPr>
              <w:t>red</w:t>
            </w:r>
            <w:r w:rsidR="00662BCF">
              <w:rPr>
                <w:rFonts w:eastAsia="Times New Roman"/>
                <w:sz w:val="24"/>
                <w:szCs w:val="24"/>
              </w:rPr>
              <w:t>.</w:t>
            </w:r>
            <w:bookmarkEnd w:id="10"/>
          </w:p>
        </w:tc>
      </w:tr>
      <w:tr w:rsidR="0067075A" w:rsidRPr="008A753B" w14:paraId="2E91B46F" w14:textId="77777777" w:rsidTr="006D0830">
        <w:tc>
          <w:tcPr>
            <w:tcW w:w="1702" w:type="dxa"/>
            <w:tcBorders>
              <w:top w:val="nil"/>
              <w:bottom w:val="nil"/>
            </w:tcBorders>
          </w:tcPr>
          <w:p w14:paraId="6E90E66D" w14:textId="6E54BE35" w:rsidR="0067075A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</w:tcPr>
          <w:p w14:paraId="47E4C621" w14:textId="56C4B7C5" w:rsidR="0067075A" w:rsidRPr="00942EF8" w:rsidRDefault="0067075A" w:rsidP="0067075A">
            <w:pPr>
              <w:widowControl w:val="0"/>
              <w:tabs>
                <w:tab w:val="left" w:pos="898"/>
                <w:tab w:val="left" w:pos="899"/>
              </w:tabs>
              <w:autoSpaceDE w:val="0"/>
              <w:autoSpaceDN w:val="0"/>
              <w:spacing w:before="60" w:after="60"/>
              <w:ind w:right="176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to </w:t>
            </w:r>
            <w:r w:rsidRPr="00411C63">
              <w:rPr>
                <w:b/>
                <w:bCs/>
                <w:sz w:val="24"/>
                <w:szCs w:val="24"/>
              </w:rPr>
              <w:t>approve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62AB">
              <w:rPr>
                <w:sz w:val="24"/>
                <w:szCs w:val="24"/>
              </w:rPr>
              <w:t>the proposals</w:t>
            </w:r>
            <w:r w:rsidR="00662BCF">
              <w:rPr>
                <w:sz w:val="24"/>
                <w:szCs w:val="24"/>
              </w:rPr>
              <w:t>, noting a</w:t>
            </w:r>
            <w:r>
              <w:rPr>
                <w:sz w:val="24"/>
                <w:szCs w:val="24"/>
              </w:rPr>
              <w:t xml:space="preserve"> </w:t>
            </w:r>
            <w:r w:rsidR="00662BCF" w:rsidRPr="00467B37">
              <w:rPr>
                <w:color w:val="000000" w:themeColor="text1"/>
                <w:sz w:val="24"/>
                <w:szCs w:val="24"/>
              </w:rPr>
              <w:t>preference for succinct papers alongside the proposed changes.</w:t>
            </w:r>
          </w:p>
        </w:tc>
      </w:tr>
      <w:tr w:rsidR="0067075A" w:rsidRPr="008A753B" w14:paraId="43924A4B" w14:textId="77777777" w:rsidTr="006D0830"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DE1640A" w14:textId="1346D062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lastRenderedPageBreak/>
              <w:t>FEC_2024_03_06_12</w:t>
            </w: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C79E1D" w14:textId="022F19AB" w:rsidR="0067075A" w:rsidRPr="00A51EAB" w:rsidRDefault="0067075A" w:rsidP="0067075A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PENSIONS UPDATE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7098723" w14:textId="1E03A1C5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FEC_2024_03_06_P12</w:t>
            </w:r>
          </w:p>
        </w:tc>
      </w:tr>
      <w:tr w:rsidR="0067075A" w:rsidRPr="008A753B" w14:paraId="72F6D633" w14:textId="77777777" w:rsidTr="00E3316D">
        <w:tc>
          <w:tcPr>
            <w:tcW w:w="1702" w:type="dxa"/>
            <w:tcBorders>
              <w:top w:val="single" w:sz="4" w:space="0" w:color="auto"/>
            </w:tcBorders>
          </w:tcPr>
          <w:p w14:paraId="5E38ED65" w14:textId="72C3BDD0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48F826D7" w14:textId="0C1996F9" w:rsidR="0067075A" w:rsidRPr="00942EF8" w:rsidRDefault="0067075A" w:rsidP="0067075A">
            <w:pPr>
              <w:tabs>
                <w:tab w:val="left" w:pos="50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 received a comprehensive update on the University’s pension arrangements.</w:t>
            </w:r>
          </w:p>
        </w:tc>
      </w:tr>
      <w:tr w:rsidR="0067075A" w:rsidRPr="008A753B" w14:paraId="198E3A4E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846967" w14:textId="6039F975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FEC_2024_03_06_13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C4619" w14:textId="0CC58048" w:rsidR="0067075A" w:rsidRPr="00BB1097" w:rsidRDefault="0067075A" w:rsidP="0067075A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FINANCIAL MONITORING UPDATE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A9F0F8" w14:textId="1D532B3E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FEC_2024_03_06_P13</w:t>
            </w:r>
          </w:p>
        </w:tc>
      </w:tr>
      <w:tr w:rsidR="0067075A" w:rsidRPr="008A753B" w14:paraId="08DA9882" w14:textId="77777777" w:rsidTr="00E3316D">
        <w:tc>
          <w:tcPr>
            <w:tcW w:w="1702" w:type="dxa"/>
            <w:tcBorders>
              <w:top w:val="single" w:sz="4" w:space="0" w:color="auto"/>
            </w:tcBorders>
          </w:tcPr>
          <w:p w14:paraId="005F7E82" w14:textId="2674BB8C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6A84EF3B" w14:textId="44E1CA56" w:rsidR="0067075A" w:rsidRPr="003B54EA" w:rsidRDefault="0067075A" w:rsidP="0067075A">
            <w:pPr>
              <w:pStyle w:val="TableParagraph"/>
              <w:spacing w:before="60" w:after="60"/>
              <w:ind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item had been covered in detail under item 5.</w:t>
            </w:r>
            <w:r w:rsidRPr="00C673D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7075A" w:rsidRPr="008A753B" w14:paraId="7891C28E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96E92" w14:textId="3784DDC7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FEC_2024_03_06_14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3AB7B" w14:textId="54AE1589" w:rsidR="0067075A" w:rsidRPr="00BB1097" w:rsidRDefault="0067075A" w:rsidP="0067075A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BB1097">
              <w:rPr>
                <w:b/>
                <w:sz w:val="24"/>
                <w:szCs w:val="24"/>
              </w:rPr>
              <w:t>STUDENTS’ UNION (SU) FINANCIAL MONITORING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C682B9" w14:textId="5E16C7BB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  <w:r>
              <w:t>FEC_2024_03_06_P14</w:t>
            </w:r>
          </w:p>
        </w:tc>
      </w:tr>
      <w:tr w:rsidR="0067075A" w:rsidRPr="008A753B" w14:paraId="5C658030" w14:textId="77777777" w:rsidTr="00E3316D">
        <w:tc>
          <w:tcPr>
            <w:tcW w:w="1702" w:type="dxa"/>
            <w:tcBorders>
              <w:top w:val="single" w:sz="4" w:space="0" w:color="auto"/>
            </w:tcBorders>
          </w:tcPr>
          <w:p w14:paraId="0AE1A924" w14:textId="7DC5D79F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0E227EC2" w14:textId="26ED8186" w:rsidR="0067075A" w:rsidRPr="003B54EA" w:rsidRDefault="0067075A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received an update on </w:t>
            </w:r>
            <w:r w:rsidRPr="002F43B9">
              <w:rPr>
                <w:sz w:val="24"/>
                <w:szCs w:val="24"/>
              </w:rPr>
              <w:t xml:space="preserve">the financial performance of </w:t>
            </w:r>
            <w:r>
              <w:rPr>
                <w:sz w:val="24"/>
                <w:szCs w:val="24"/>
              </w:rPr>
              <w:t>the SU</w:t>
            </w:r>
            <w:r w:rsidRPr="002F43B9">
              <w:rPr>
                <w:sz w:val="24"/>
                <w:szCs w:val="24"/>
              </w:rPr>
              <w:t xml:space="preserve"> as at </w:t>
            </w:r>
            <w:r>
              <w:rPr>
                <w:sz w:val="24"/>
                <w:szCs w:val="24"/>
              </w:rPr>
              <w:t>P</w:t>
            </w:r>
            <w:r w:rsidRPr="002F43B9">
              <w:rPr>
                <w:sz w:val="24"/>
                <w:szCs w:val="24"/>
              </w:rPr>
              <w:t xml:space="preserve">eriod </w:t>
            </w:r>
            <w:r>
              <w:rPr>
                <w:sz w:val="24"/>
                <w:szCs w:val="24"/>
              </w:rPr>
              <w:t>6 (end January 2024).</w:t>
            </w:r>
          </w:p>
        </w:tc>
      </w:tr>
      <w:tr w:rsidR="0067075A" w:rsidRPr="008A753B" w14:paraId="111ED2E6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B4972" w14:textId="3EBAB0A5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FEC_2r024_03_06_15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FD8CC1" w14:textId="27F4C8C1" w:rsidR="0067075A" w:rsidRPr="00D82BED" w:rsidRDefault="0067075A" w:rsidP="0067075A">
            <w:pPr>
              <w:spacing w:before="60" w:after="60"/>
              <w:rPr>
                <w:b/>
                <w:sz w:val="24"/>
                <w:szCs w:val="24"/>
              </w:rPr>
            </w:pPr>
            <w:r w:rsidRPr="00D82BED">
              <w:rPr>
                <w:b/>
                <w:sz w:val="24"/>
                <w:szCs w:val="24"/>
              </w:rPr>
              <w:t>ANY URGENT BUSINESS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0DA925" w14:textId="5CC24323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</w:p>
        </w:tc>
      </w:tr>
      <w:tr w:rsidR="0067075A" w:rsidRPr="008A753B" w14:paraId="2AFC4A1C" w14:textId="77777777" w:rsidTr="00E3316D">
        <w:tc>
          <w:tcPr>
            <w:tcW w:w="1702" w:type="dxa"/>
            <w:tcBorders>
              <w:top w:val="single" w:sz="4" w:space="0" w:color="auto"/>
            </w:tcBorders>
          </w:tcPr>
          <w:p w14:paraId="668D8F1A" w14:textId="6EC0117E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5FB7D892" w14:textId="6D1C26AE" w:rsidR="0067075A" w:rsidRPr="003B54EA" w:rsidRDefault="0067075A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 and members recorded their appreciation to the University Secretary for her contribution to the Committee</w:t>
            </w:r>
            <w:r w:rsidR="008F2382">
              <w:rPr>
                <w:sz w:val="24"/>
                <w:szCs w:val="24"/>
              </w:rPr>
              <w:t>.</w:t>
            </w:r>
          </w:p>
        </w:tc>
      </w:tr>
      <w:tr w:rsidR="0067075A" w:rsidRPr="008A753B" w14:paraId="7A14FCFD" w14:textId="77777777" w:rsidTr="00E3316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2CBF1" w14:textId="1E2BE52A" w:rsidR="0067075A" w:rsidRPr="008A753B" w:rsidRDefault="0067075A" w:rsidP="0067075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FEC_2024_03_06_16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06AA54" w14:textId="07520704" w:rsidR="0067075A" w:rsidRPr="008A753B" w:rsidRDefault="0067075A" w:rsidP="0067075A">
            <w:pPr>
              <w:pStyle w:val="Heading2"/>
            </w:pPr>
            <w:r w:rsidRPr="008A753B">
              <w:t xml:space="preserve">DATE OF THE NEXT </w:t>
            </w:r>
            <w:r>
              <w:t>M</w:t>
            </w:r>
            <w:r w:rsidRPr="008A753B">
              <w:t>EETING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120D2" w14:textId="7CC64141" w:rsidR="0067075A" w:rsidRPr="00627D42" w:rsidRDefault="0067075A" w:rsidP="0067075A">
            <w:pPr>
              <w:pStyle w:val="Heading3"/>
              <w:spacing w:before="60" w:after="60"/>
              <w:ind w:left="-113" w:right="-110"/>
              <w:jc w:val="right"/>
            </w:pPr>
          </w:p>
        </w:tc>
      </w:tr>
      <w:tr w:rsidR="0067075A" w:rsidRPr="008A753B" w14:paraId="112F0B85" w14:textId="77777777" w:rsidTr="00E3316D">
        <w:tc>
          <w:tcPr>
            <w:tcW w:w="1702" w:type="dxa"/>
            <w:tcBorders>
              <w:top w:val="single" w:sz="4" w:space="0" w:color="auto"/>
            </w:tcBorders>
          </w:tcPr>
          <w:p w14:paraId="123A7AE9" w14:textId="36E929DB" w:rsidR="0067075A" w:rsidRPr="008A753B" w:rsidRDefault="0067075A" w:rsidP="0067075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688A0001" w14:textId="4678A918" w:rsidR="0067075A" w:rsidRPr="008A753B" w:rsidRDefault="0067075A" w:rsidP="0067075A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Wednesday</w:t>
            </w:r>
            <w:r w:rsidRPr="00942EF8">
              <w:rPr>
                <w:color w:val="000000" w:themeColor="text1"/>
                <w:sz w:val="24"/>
                <w:szCs w:val="24"/>
              </w:rPr>
              <w:t>,</w:t>
            </w:r>
            <w:r w:rsidRPr="00942EF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42EF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May</w:t>
            </w:r>
            <w:r w:rsidRPr="00942EF8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942EF8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5</w:t>
            </w:r>
            <w:r w:rsidRPr="00942EF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942EF8"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8</w:t>
            </w:r>
            <w:r w:rsidRPr="00942EF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942EF8">
              <w:rPr>
                <w:bCs/>
                <w:sz w:val="24"/>
                <w:szCs w:val="24"/>
              </w:rPr>
              <w:t xml:space="preserve">0 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DB4956">
      <w:footerReference w:type="default" r:id="rId7"/>
      <w:headerReference w:type="first" r:id="rId8"/>
      <w:footerReference w:type="first" r:id="rId9"/>
      <w:pgSz w:w="11906" w:h="16838"/>
      <w:pgMar w:top="1134" w:right="1134" w:bottom="993" w:left="1440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D6326" w14:textId="77777777" w:rsidR="004C323F" w:rsidRDefault="004C323F" w:rsidP="0000042C">
      <w:pPr>
        <w:spacing w:after="0" w:line="240" w:lineRule="auto"/>
      </w:pPr>
      <w:r>
        <w:separator/>
      </w:r>
    </w:p>
  </w:endnote>
  <w:endnote w:type="continuationSeparator" w:id="0">
    <w:p w14:paraId="440C3145" w14:textId="77777777" w:rsidR="004C323F" w:rsidRDefault="004C323F" w:rsidP="0000042C">
      <w:pPr>
        <w:spacing w:after="0" w:line="240" w:lineRule="auto"/>
      </w:pPr>
      <w:r>
        <w:continuationSeparator/>
      </w:r>
    </w:p>
  </w:endnote>
  <w:endnote w:type="continuationNotice" w:id="1">
    <w:p w14:paraId="5F816A34" w14:textId="77777777" w:rsidR="004C323F" w:rsidRDefault="004C3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E018" w14:textId="620BE9CC" w:rsidR="0000237B" w:rsidRPr="00826269" w:rsidRDefault="0000237B" w:rsidP="0000237B">
    <w:pPr>
      <w:pStyle w:val="Footer"/>
      <w:jc w:val="right"/>
      <w:rPr>
        <w:color w:val="621B40"/>
        <w:sz w:val="24"/>
        <w:szCs w:val="24"/>
      </w:rPr>
    </w:pPr>
    <w:r w:rsidRPr="00826269">
      <w:rPr>
        <w:sz w:val="24"/>
        <w:szCs w:val="24"/>
      </w:rPr>
      <w:t xml:space="preserve">Page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PAGE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  <w:r w:rsidRPr="00826269">
      <w:rPr>
        <w:sz w:val="24"/>
        <w:szCs w:val="24"/>
      </w:rPr>
      <w:t xml:space="preserve"> of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NUMPAGES 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3106B" w14:textId="77777777" w:rsidR="004C323F" w:rsidRDefault="004C323F" w:rsidP="0000042C">
      <w:pPr>
        <w:spacing w:after="0" w:line="240" w:lineRule="auto"/>
      </w:pPr>
      <w:r>
        <w:separator/>
      </w:r>
    </w:p>
  </w:footnote>
  <w:footnote w:type="continuationSeparator" w:id="0">
    <w:p w14:paraId="44F3B595" w14:textId="77777777" w:rsidR="004C323F" w:rsidRDefault="004C323F" w:rsidP="0000042C">
      <w:pPr>
        <w:spacing w:after="0" w:line="240" w:lineRule="auto"/>
      </w:pPr>
      <w:r>
        <w:continuationSeparator/>
      </w:r>
    </w:p>
  </w:footnote>
  <w:footnote w:type="continuationNotice" w:id="1">
    <w:p w14:paraId="47CA327C" w14:textId="77777777" w:rsidR="004C323F" w:rsidRDefault="004C3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528"/>
      <w:gridCol w:w="2268"/>
    </w:tblGrid>
    <w:tr w:rsidR="00DB4956" w:rsidRPr="00131BC8" w14:paraId="385E976F" w14:textId="77777777" w:rsidTr="00DB4956">
      <w:tc>
        <w:tcPr>
          <w:tcW w:w="2269" w:type="dxa"/>
        </w:tcPr>
        <w:p w14:paraId="1EDD1CEB" w14:textId="421B7730" w:rsidR="00DB4956" w:rsidRPr="0000042C" w:rsidRDefault="00DB4956" w:rsidP="00DB4956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32B832DF" wp14:editId="5F8464F5">
                <wp:extent cx="894853" cy="480060"/>
                <wp:effectExtent l="0" t="0" r="635" b="0"/>
                <wp:docPr id="821474179" name="Picture 82147417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3AB27DC" w14:textId="34FDEE79" w:rsidR="00DB4956" w:rsidRPr="00131BC8" w:rsidRDefault="00DB4956" w:rsidP="00DB4956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FINANCE AND EMPLOYMENT COMMITTEE</w:t>
          </w:r>
        </w:p>
      </w:tc>
      <w:tc>
        <w:tcPr>
          <w:tcW w:w="2268" w:type="dxa"/>
        </w:tcPr>
        <w:p w14:paraId="7824D725" w14:textId="76B936E8" w:rsidR="00DB4956" w:rsidRPr="00131BC8" w:rsidRDefault="00DB4956" w:rsidP="00DB4956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FEC</w:t>
          </w:r>
          <w:r w:rsidR="000D02D5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</w:t>
          </w:r>
          <w:r w:rsidR="00942EF8">
            <w:rPr>
              <w:b/>
              <w:bCs/>
              <w:sz w:val="24"/>
              <w:szCs w:val="24"/>
            </w:rPr>
            <w:t>4</w:t>
          </w:r>
          <w:r w:rsidR="000D02D5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0</w:t>
          </w:r>
          <w:r w:rsidR="00942EF8">
            <w:rPr>
              <w:b/>
              <w:bCs/>
              <w:sz w:val="24"/>
              <w:szCs w:val="24"/>
            </w:rPr>
            <w:t>3</w:t>
          </w:r>
          <w:r w:rsidR="000D02D5">
            <w:rPr>
              <w:b/>
              <w:bCs/>
              <w:sz w:val="24"/>
              <w:szCs w:val="24"/>
            </w:rPr>
            <w:t>_</w:t>
          </w:r>
          <w:r w:rsidR="00942EF8">
            <w:rPr>
              <w:b/>
              <w:bCs/>
              <w:sz w:val="24"/>
              <w:szCs w:val="24"/>
            </w:rPr>
            <w:t>06</w:t>
          </w:r>
          <w:r w:rsidR="000D02D5">
            <w:rPr>
              <w:b/>
              <w:bCs/>
              <w:sz w:val="24"/>
              <w:szCs w:val="24"/>
            </w:rPr>
            <w:t>_</w:t>
          </w:r>
          <w:r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73FB"/>
    <w:multiLevelType w:val="hybridMultilevel"/>
    <w:tmpl w:val="1E0CFB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292"/>
    <w:multiLevelType w:val="hybridMultilevel"/>
    <w:tmpl w:val="C958CB8C"/>
    <w:lvl w:ilvl="0" w:tplc="D17AD0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40F"/>
    <w:multiLevelType w:val="hybridMultilevel"/>
    <w:tmpl w:val="05DAD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A01F0"/>
    <w:multiLevelType w:val="hybridMultilevel"/>
    <w:tmpl w:val="1D84DA4E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1A456CED"/>
    <w:multiLevelType w:val="hybridMultilevel"/>
    <w:tmpl w:val="02BC3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2568"/>
    <w:multiLevelType w:val="hybridMultilevel"/>
    <w:tmpl w:val="7DF2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1373E"/>
    <w:multiLevelType w:val="hybridMultilevel"/>
    <w:tmpl w:val="0F6CF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9470A5"/>
    <w:multiLevelType w:val="hybridMultilevel"/>
    <w:tmpl w:val="5ACE2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65EA1"/>
    <w:multiLevelType w:val="hybridMultilevel"/>
    <w:tmpl w:val="1F0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2630"/>
    <w:multiLevelType w:val="hybridMultilevel"/>
    <w:tmpl w:val="1EFC1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6304C"/>
    <w:multiLevelType w:val="hybridMultilevel"/>
    <w:tmpl w:val="1CFA19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30A3C"/>
    <w:multiLevelType w:val="hybridMultilevel"/>
    <w:tmpl w:val="AD2848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331D"/>
    <w:multiLevelType w:val="hybridMultilevel"/>
    <w:tmpl w:val="3D3C9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697F05"/>
    <w:multiLevelType w:val="hybridMultilevel"/>
    <w:tmpl w:val="75E42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373E3"/>
    <w:multiLevelType w:val="hybridMultilevel"/>
    <w:tmpl w:val="4CFCF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163AE"/>
    <w:multiLevelType w:val="hybridMultilevel"/>
    <w:tmpl w:val="B9C4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26E03"/>
    <w:multiLevelType w:val="hybridMultilevel"/>
    <w:tmpl w:val="4BEC0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E1C0A"/>
    <w:multiLevelType w:val="hybridMultilevel"/>
    <w:tmpl w:val="C28CEC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07237">
    <w:abstractNumId w:val="1"/>
  </w:num>
  <w:num w:numId="2" w16cid:durableId="1739477119">
    <w:abstractNumId w:val="12"/>
  </w:num>
  <w:num w:numId="3" w16cid:durableId="1614173440">
    <w:abstractNumId w:val="7"/>
  </w:num>
  <w:num w:numId="4" w16cid:durableId="1806123259">
    <w:abstractNumId w:val="6"/>
  </w:num>
  <w:num w:numId="5" w16cid:durableId="586113999">
    <w:abstractNumId w:val="13"/>
  </w:num>
  <w:num w:numId="6" w16cid:durableId="1093431904">
    <w:abstractNumId w:val="16"/>
  </w:num>
  <w:num w:numId="7" w16cid:durableId="980304726">
    <w:abstractNumId w:val="9"/>
  </w:num>
  <w:num w:numId="8" w16cid:durableId="1158691556">
    <w:abstractNumId w:val="0"/>
  </w:num>
  <w:num w:numId="9" w16cid:durableId="640159795">
    <w:abstractNumId w:val="5"/>
  </w:num>
  <w:num w:numId="10" w16cid:durableId="1320690239">
    <w:abstractNumId w:val="14"/>
  </w:num>
  <w:num w:numId="11" w16cid:durableId="2114472574">
    <w:abstractNumId w:val="10"/>
  </w:num>
  <w:num w:numId="12" w16cid:durableId="543368630">
    <w:abstractNumId w:val="15"/>
  </w:num>
  <w:num w:numId="13" w16cid:durableId="1701391019">
    <w:abstractNumId w:val="3"/>
  </w:num>
  <w:num w:numId="14" w16cid:durableId="564686292">
    <w:abstractNumId w:val="8"/>
  </w:num>
  <w:num w:numId="15" w16cid:durableId="1389374890">
    <w:abstractNumId w:val="2"/>
  </w:num>
  <w:num w:numId="16" w16cid:durableId="493033571">
    <w:abstractNumId w:val="11"/>
  </w:num>
  <w:num w:numId="17" w16cid:durableId="604270392">
    <w:abstractNumId w:val="17"/>
  </w:num>
  <w:num w:numId="18" w16cid:durableId="110514768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++R5Zn+pxh7eo7qYm5hXLcdkd//WUkIzmgLgV61eWrk1mq6H7/+Pdl2PSq7JMwlABd/mfJ27dkT09T/2itj3Q==" w:salt="ARLZ4fmGXXuWQSCj5Xc51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58A"/>
    <w:rsid w:val="00003413"/>
    <w:rsid w:val="00004D0F"/>
    <w:rsid w:val="00004F1C"/>
    <w:rsid w:val="00010FD6"/>
    <w:rsid w:val="00016934"/>
    <w:rsid w:val="000212D1"/>
    <w:rsid w:val="00021930"/>
    <w:rsid w:val="00022310"/>
    <w:rsid w:val="00022882"/>
    <w:rsid w:val="0002491F"/>
    <w:rsid w:val="00027DF7"/>
    <w:rsid w:val="00030C39"/>
    <w:rsid w:val="00030F68"/>
    <w:rsid w:val="00031FAC"/>
    <w:rsid w:val="000325CC"/>
    <w:rsid w:val="00034317"/>
    <w:rsid w:val="00037A9D"/>
    <w:rsid w:val="0004085C"/>
    <w:rsid w:val="00043BD7"/>
    <w:rsid w:val="00044D67"/>
    <w:rsid w:val="000537F8"/>
    <w:rsid w:val="00060BD9"/>
    <w:rsid w:val="00066A1C"/>
    <w:rsid w:val="0007498C"/>
    <w:rsid w:val="000754D3"/>
    <w:rsid w:val="000756D8"/>
    <w:rsid w:val="00075AE5"/>
    <w:rsid w:val="00084E5C"/>
    <w:rsid w:val="000926CF"/>
    <w:rsid w:val="00093141"/>
    <w:rsid w:val="000934E1"/>
    <w:rsid w:val="000A3273"/>
    <w:rsid w:val="000A582C"/>
    <w:rsid w:val="000A5D39"/>
    <w:rsid w:val="000A74D1"/>
    <w:rsid w:val="000B1032"/>
    <w:rsid w:val="000B1151"/>
    <w:rsid w:val="000B1BAF"/>
    <w:rsid w:val="000B741F"/>
    <w:rsid w:val="000C27F3"/>
    <w:rsid w:val="000C29D9"/>
    <w:rsid w:val="000C2A74"/>
    <w:rsid w:val="000C39A5"/>
    <w:rsid w:val="000C3E87"/>
    <w:rsid w:val="000C3EDD"/>
    <w:rsid w:val="000C520C"/>
    <w:rsid w:val="000C5DD7"/>
    <w:rsid w:val="000D02D5"/>
    <w:rsid w:val="000D113B"/>
    <w:rsid w:val="000D2C19"/>
    <w:rsid w:val="000D5C69"/>
    <w:rsid w:val="000D5DBD"/>
    <w:rsid w:val="000D79CD"/>
    <w:rsid w:val="000E0F0B"/>
    <w:rsid w:val="000E5668"/>
    <w:rsid w:val="000E713A"/>
    <w:rsid w:val="000E7D86"/>
    <w:rsid w:val="000F2863"/>
    <w:rsid w:val="000F66F0"/>
    <w:rsid w:val="000F6BD2"/>
    <w:rsid w:val="001007DA"/>
    <w:rsid w:val="00103702"/>
    <w:rsid w:val="00112F05"/>
    <w:rsid w:val="00120657"/>
    <w:rsid w:val="00124F9B"/>
    <w:rsid w:val="001278DA"/>
    <w:rsid w:val="00131BC8"/>
    <w:rsid w:val="001365FD"/>
    <w:rsid w:val="00136855"/>
    <w:rsid w:val="00136B49"/>
    <w:rsid w:val="00137A1E"/>
    <w:rsid w:val="001410E3"/>
    <w:rsid w:val="0014141B"/>
    <w:rsid w:val="001433E4"/>
    <w:rsid w:val="001445D4"/>
    <w:rsid w:val="00145497"/>
    <w:rsid w:val="0015446D"/>
    <w:rsid w:val="0015494E"/>
    <w:rsid w:val="00155BD4"/>
    <w:rsid w:val="0016235B"/>
    <w:rsid w:val="00164593"/>
    <w:rsid w:val="00172CB8"/>
    <w:rsid w:val="00173C6D"/>
    <w:rsid w:val="0018252C"/>
    <w:rsid w:val="00182FB3"/>
    <w:rsid w:val="00187913"/>
    <w:rsid w:val="00196781"/>
    <w:rsid w:val="00197053"/>
    <w:rsid w:val="001A37FE"/>
    <w:rsid w:val="001A5DAA"/>
    <w:rsid w:val="001B5143"/>
    <w:rsid w:val="001B59A0"/>
    <w:rsid w:val="001B5FBA"/>
    <w:rsid w:val="001C0F4A"/>
    <w:rsid w:val="001C2830"/>
    <w:rsid w:val="001C62BE"/>
    <w:rsid w:val="001C6D99"/>
    <w:rsid w:val="001D7879"/>
    <w:rsid w:val="001E00E8"/>
    <w:rsid w:val="001E11AF"/>
    <w:rsid w:val="001E1E88"/>
    <w:rsid w:val="001E5044"/>
    <w:rsid w:val="001E6829"/>
    <w:rsid w:val="001F6D5C"/>
    <w:rsid w:val="00201C55"/>
    <w:rsid w:val="0020251E"/>
    <w:rsid w:val="00204CD9"/>
    <w:rsid w:val="00205499"/>
    <w:rsid w:val="0021033D"/>
    <w:rsid w:val="002123DF"/>
    <w:rsid w:val="00214CE0"/>
    <w:rsid w:val="002161C5"/>
    <w:rsid w:val="00216CD2"/>
    <w:rsid w:val="00222606"/>
    <w:rsid w:val="002310C4"/>
    <w:rsid w:val="00234EAF"/>
    <w:rsid w:val="00241C02"/>
    <w:rsid w:val="002549E6"/>
    <w:rsid w:val="00254AF8"/>
    <w:rsid w:val="002563F8"/>
    <w:rsid w:val="00257A17"/>
    <w:rsid w:val="00261FCC"/>
    <w:rsid w:val="00261FE3"/>
    <w:rsid w:val="00271446"/>
    <w:rsid w:val="0027281E"/>
    <w:rsid w:val="00276249"/>
    <w:rsid w:val="002809E2"/>
    <w:rsid w:val="00281C25"/>
    <w:rsid w:val="00282CD0"/>
    <w:rsid w:val="00283879"/>
    <w:rsid w:val="002931CB"/>
    <w:rsid w:val="00295C84"/>
    <w:rsid w:val="0029787F"/>
    <w:rsid w:val="002A0836"/>
    <w:rsid w:val="002A0C7D"/>
    <w:rsid w:val="002A0E77"/>
    <w:rsid w:val="002A4F57"/>
    <w:rsid w:val="002A7694"/>
    <w:rsid w:val="002B1BBD"/>
    <w:rsid w:val="002B46E3"/>
    <w:rsid w:val="002B4928"/>
    <w:rsid w:val="002B5393"/>
    <w:rsid w:val="002B5A77"/>
    <w:rsid w:val="002C4653"/>
    <w:rsid w:val="002C55D8"/>
    <w:rsid w:val="002D0EB8"/>
    <w:rsid w:val="002D430D"/>
    <w:rsid w:val="002D5AAF"/>
    <w:rsid w:val="002D7F5F"/>
    <w:rsid w:val="002E560D"/>
    <w:rsid w:val="002E6DE9"/>
    <w:rsid w:val="002F5455"/>
    <w:rsid w:val="002F6CBA"/>
    <w:rsid w:val="003027CF"/>
    <w:rsid w:val="00306A7C"/>
    <w:rsid w:val="0031313F"/>
    <w:rsid w:val="00315CCD"/>
    <w:rsid w:val="003161E5"/>
    <w:rsid w:val="00316B0F"/>
    <w:rsid w:val="003177CC"/>
    <w:rsid w:val="003224D0"/>
    <w:rsid w:val="003327F1"/>
    <w:rsid w:val="00332C00"/>
    <w:rsid w:val="00332C1B"/>
    <w:rsid w:val="00332D3A"/>
    <w:rsid w:val="00336E27"/>
    <w:rsid w:val="003372E6"/>
    <w:rsid w:val="0034256B"/>
    <w:rsid w:val="00343670"/>
    <w:rsid w:val="00344E95"/>
    <w:rsid w:val="00347EC1"/>
    <w:rsid w:val="003505B0"/>
    <w:rsid w:val="00353E9E"/>
    <w:rsid w:val="003545EB"/>
    <w:rsid w:val="003607AE"/>
    <w:rsid w:val="0036378C"/>
    <w:rsid w:val="00365FA1"/>
    <w:rsid w:val="00366D26"/>
    <w:rsid w:val="0037008C"/>
    <w:rsid w:val="00371894"/>
    <w:rsid w:val="00371B3D"/>
    <w:rsid w:val="00373FE8"/>
    <w:rsid w:val="00375F23"/>
    <w:rsid w:val="00376760"/>
    <w:rsid w:val="00376CF1"/>
    <w:rsid w:val="00385B0D"/>
    <w:rsid w:val="00390B74"/>
    <w:rsid w:val="00391F17"/>
    <w:rsid w:val="003923F1"/>
    <w:rsid w:val="00392682"/>
    <w:rsid w:val="00392ACB"/>
    <w:rsid w:val="00395131"/>
    <w:rsid w:val="00395C89"/>
    <w:rsid w:val="00396A99"/>
    <w:rsid w:val="003A415B"/>
    <w:rsid w:val="003A4A86"/>
    <w:rsid w:val="003A56C1"/>
    <w:rsid w:val="003B1F85"/>
    <w:rsid w:val="003B326E"/>
    <w:rsid w:val="003B3402"/>
    <w:rsid w:val="003B3822"/>
    <w:rsid w:val="003B54EA"/>
    <w:rsid w:val="003C010B"/>
    <w:rsid w:val="003C54FF"/>
    <w:rsid w:val="003C5F2B"/>
    <w:rsid w:val="003D5AB6"/>
    <w:rsid w:val="003E0A68"/>
    <w:rsid w:val="003E0A6A"/>
    <w:rsid w:val="003E1A3C"/>
    <w:rsid w:val="003E401C"/>
    <w:rsid w:val="003F3545"/>
    <w:rsid w:val="003F6445"/>
    <w:rsid w:val="003F6CA4"/>
    <w:rsid w:val="004007FB"/>
    <w:rsid w:val="00403916"/>
    <w:rsid w:val="0040584A"/>
    <w:rsid w:val="00406AB3"/>
    <w:rsid w:val="00407C18"/>
    <w:rsid w:val="0041078A"/>
    <w:rsid w:val="00415939"/>
    <w:rsid w:val="00421D2B"/>
    <w:rsid w:val="00422173"/>
    <w:rsid w:val="0042436E"/>
    <w:rsid w:val="00424EDB"/>
    <w:rsid w:val="00433ABE"/>
    <w:rsid w:val="00434B22"/>
    <w:rsid w:val="00440551"/>
    <w:rsid w:val="004429C3"/>
    <w:rsid w:val="00443F5F"/>
    <w:rsid w:val="00445DAF"/>
    <w:rsid w:val="0044606D"/>
    <w:rsid w:val="004548F3"/>
    <w:rsid w:val="00454D7F"/>
    <w:rsid w:val="00455BAF"/>
    <w:rsid w:val="00455FF2"/>
    <w:rsid w:val="00460B23"/>
    <w:rsid w:val="004616FC"/>
    <w:rsid w:val="00462AF0"/>
    <w:rsid w:val="00463F0D"/>
    <w:rsid w:val="00465624"/>
    <w:rsid w:val="00467A84"/>
    <w:rsid w:val="00467B37"/>
    <w:rsid w:val="004700E6"/>
    <w:rsid w:val="00484866"/>
    <w:rsid w:val="0048683D"/>
    <w:rsid w:val="00487C2A"/>
    <w:rsid w:val="00490C30"/>
    <w:rsid w:val="00491741"/>
    <w:rsid w:val="00494783"/>
    <w:rsid w:val="004968BF"/>
    <w:rsid w:val="004970A5"/>
    <w:rsid w:val="004979DB"/>
    <w:rsid w:val="00497E02"/>
    <w:rsid w:val="004A08B4"/>
    <w:rsid w:val="004A27EA"/>
    <w:rsid w:val="004A6679"/>
    <w:rsid w:val="004A7849"/>
    <w:rsid w:val="004B4AC1"/>
    <w:rsid w:val="004C0CD0"/>
    <w:rsid w:val="004C106C"/>
    <w:rsid w:val="004C323F"/>
    <w:rsid w:val="004D2495"/>
    <w:rsid w:val="004D2EA9"/>
    <w:rsid w:val="004D4C70"/>
    <w:rsid w:val="004E00D9"/>
    <w:rsid w:val="004E0F10"/>
    <w:rsid w:val="004E2BA3"/>
    <w:rsid w:val="004E33DD"/>
    <w:rsid w:val="004E53C5"/>
    <w:rsid w:val="004F0410"/>
    <w:rsid w:val="004F0411"/>
    <w:rsid w:val="004F342E"/>
    <w:rsid w:val="004F68F2"/>
    <w:rsid w:val="00503DD2"/>
    <w:rsid w:val="00504892"/>
    <w:rsid w:val="00506978"/>
    <w:rsid w:val="0051169D"/>
    <w:rsid w:val="00513BD7"/>
    <w:rsid w:val="0051525B"/>
    <w:rsid w:val="00516F5C"/>
    <w:rsid w:val="00522E39"/>
    <w:rsid w:val="00524DEA"/>
    <w:rsid w:val="00531BEA"/>
    <w:rsid w:val="00532D9B"/>
    <w:rsid w:val="005347AF"/>
    <w:rsid w:val="00536F16"/>
    <w:rsid w:val="00537DAD"/>
    <w:rsid w:val="005417E4"/>
    <w:rsid w:val="00542B68"/>
    <w:rsid w:val="005462AC"/>
    <w:rsid w:val="0055402A"/>
    <w:rsid w:val="00554B2B"/>
    <w:rsid w:val="005566E3"/>
    <w:rsid w:val="005601B6"/>
    <w:rsid w:val="0056314E"/>
    <w:rsid w:val="005644CE"/>
    <w:rsid w:val="0056628D"/>
    <w:rsid w:val="00572D88"/>
    <w:rsid w:val="00576088"/>
    <w:rsid w:val="005831A8"/>
    <w:rsid w:val="005845A4"/>
    <w:rsid w:val="005900C1"/>
    <w:rsid w:val="00592026"/>
    <w:rsid w:val="0059208A"/>
    <w:rsid w:val="005950C6"/>
    <w:rsid w:val="005971D7"/>
    <w:rsid w:val="005A0287"/>
    <w:rsid w:val="005A6D9D"/>
    <w:rsid w:val="005A7B0B"/>
    <w:rsid w:val="005B08E2"/>
    <w:rsid w:val="005B18E3"/>
    <w:rsid w:val="005B5506"/>
    <w:rsid w:val="005B6FAD"/>
    <w:rsid w:val="005C01EB"/>
    <w:rsid w:val="005C4A86"/>
    <w:rsid w:val="005C6A3E"/>
    <w:rsid w:val="005D0143"/>
    <w:rsid w:val="005D0CC5"/>
    <w:rsid w:val="005E281D"/>
    <w:rsid w:val="005E56A9"/>
    <w:rsid w:val="005F0DC5"/>
    <w:rsid w:val="005F6772"/>
    <w:rsid w:val="0060241C"/>
    <w:rsid w:val="006026A1"/>
    <w:rsid w:val="00602979"/>
    <w:rsid w:val="006037B3"/>
    <w:rsid w:val="0060380B"/>
    <w:rsid w:val="006107F8"/>
    <w:rsid w:val="00611779"/>
    <w:rsid w:val="00611B5C"/>
    <w:rsid w:val="00617BE4"/>
    <w:rsid w:val="0062075E"/>
    <w:rsid w:val="0062216C"/>
    <w:rsid w:val="0062295B"/>
    <w:rsid w:val="00622CD1"/>
    <w:rsid w:val="00623AC3"/>
    <w:rsid w:val="00623C7A"/>
    <w:rsid w:val="00623CF5"/>
    <w:rsid w:val="00624356"/>
    <w:rsid w:val="00626035"/>
    <w:rsid w:val="0062674E"/>
    <w:rsid w:val="00627D42"/>
    <w:rsid w:val="0063230E"/>
    <w:rsid w:val="006326F5"/>
    <w:rsid w:val="00633914"/>
    <w:rsid w:val="00646B6D"/>
    <w:rsid w:val="006471DD"/>
    <w:rsid w:val="006536AF"/>
    <w:rsid w:val="00662BCF"/>
    <w:rsid w:val="0067017B"/>
    <w:rsid w:val="0067075A"/>
    <w:rsid w:val="0067291B"/>
    <w:rsid w:val="0067318A"/>
    <w:rsid w:val="00677BDB"/>
    <w:rsid w:val="00682957"/>
    <w:rsid w:val="00692B5E"/>
    <w:rsid w:val="006A412D"/>
    <w:rsid w:val="006B1CD7"/>
    <w:rsid w:val="006B2F18"/>
    <w:rsid w:val="006B5046"/>
    <w:rsid w:val="006B5208"/>
    <w:rsid w:val="006B55E9"/>
    <w:rsid w:val="006B6B49"/>
    <w:rsid w:val="006C0F70"/>
    <w:rsid w:val="006C156A"/>
    <w:rsid w:val="006C3C28"/>
    <w:rsid w:val="006D0830"/>
    <w:rsid w:val="006D15E0"/>
    <w:rsid w:val="006D3537"/>
    <w:rsid w:val="006D35CC"/>
    <w:rsid w:val="006E4C47"/>
    <w:rsid w:val="006E611B"/>
    <w:rsid w:val="006F482D"/>
    <w:rsid w:val="006F5F2A"/>
    <w:rsid w:val="006F618D"/>
    <w:rsid w:val="006F6AA9"/>
    <w:rsid w:val="0070537D"/>
    <w:rsid w:val="00710F36"/>
    <w:rsid w:val="0071211E"/>
    <w:rsid w:val="007133E9"/>
    <w:rsid w:val="00715960"/>
    <w:rsid w:val="00722301"/>
    <w:rsid w:val="00724664"/>
    <w:rsid w:val="00725E72"/>
    <w:rsid w:val="00733897"/>
    <w:rsid w:val="00734473"/>
    <w:rsid w:val="00736804"/>
    <w:rsid w:val="00741E4E"/>
    <w:rsid w:val="00752134"/>
    <w:rsid w:val="00753BF0"/>
    <w:rsid w:val="0075520D"/>
    <w:rsid w:val="007600EE"/>
    <w:rsid w:val="0076636B"/>
    <w:rsid w:val="00767533"/>
    <w:rsid w:val="007702D7"/>
    <w:rsid w:val="00770417"/>
    <w:rsid w:val="007707DD"/>
    <w:rsid w:val="007717EB"/>
    <w:rsid w:val="007726EC"/>
    <w:rsid w:val="007804E9"/>
    <w:rsid w:val="00783784"/>
    <w:rsid w:val="007850FF"/>
    <w:rsid w:val="00792353"/>
    <w:rsid w:val="00795F71"/>
    <w:rsid w:val="00797AED"/>
    <w:rsid w:val="007A20BE"/>
    <w:rsid w:val="007A36D8"/>
    <w:rsid w:val="007A3B61"/>
    <w:rsid w:val="007A4273"/>
    <w:rsid w:val="007A79DA"/>
    <w:rsid w:val="007B5747"/>
    <w:rsid w:val="007B5D6D"/>
    <w:rsid w:val="007B63DA"/>
    <w:rsid w:val="007C1BD5"/>
    <w:rsid w:val="007C2528"/>
    <w:rsid w:val="007C32C8"/>
    <w:rsid w:val="007C4AF1"/>
    <w:rsid w:val="007D6D63"/>
    <w:rsid w:val="007E6B43"/>
    <w:rsid w:val="007E6D97"/>
    <w:rsid w:val="007F2642"/>
    <w:rsid w:val="007F2C33"/>
    <w:rsid w:val="007F66C1"/>
    <w:rsid w:val="00800CD8"/>
    <w:rsid w:val="00803CA8"/>
    <w:rsid w:val="008046E7"/>
    <w:rsid w:val="00805392"/>
    <w:rsid w:val="00806B34"/>
    <w:rsid w:val="00810722"/>
    <w:rsid w:val="00820AC3"/>
    <w:rsid w:val="00820CBE"/>
    <w:rsid w:val="00820D1C"/>
    <w:rsid w:val="00821B03"/>
    <w:rsid w:val="00826269"/>
    <w:rsid w:val="00831B45"/>
    <w:rsid w:val="00834325"/>
    <w:rsid w:val="008408EE"/>
    <w:rsid w:val="00840951"/>
    <w:rsid w:val="00840E1B"/>
    <w:rsid w:val="00842C69"/>
    <w:rsid w:val="00851841"/>
    <w:rsid w:val="00853CE0"/>
    <w:rsid w:val="00856568"/>
    <w:rsid w:val="0085797E"/>
    <w:rsid w:val="00860C05"/>
    <w:rsid w:val="00864B29"/>
    <w:rsid w:val="008670BD"/>
    <w:rsid w:val="00872696"/>
    <w:rsid w:val="00876B2D"/>
    <w:rsid w:val="00877AD9"/>
    <w:rsid w:val="00881FD9"/>
    <w:rsid w:val="008835B2"/>
    <w:rsid w:val="00891F86"/>
    <w:rsid w:val="00893021"/>
    <w:rsid w:val="008963F1"/>
    <w:rsid w:val="008A2719"/>
    <w:rsid w:val="008A33FC"/>
    <w:rsid w:val="008A3D39"/>
    <w:rsid w:val="008A753B"/>
    <w:rsid w:val="008A75E7"/>
    <w:rsid w:val="008B11FC"/>
    <w:rsid w:val="008B12DE"/>
    <w:rsid w:val="008B3B03"/>
    <w:rsid w:val="008B3E3D"/>
    <w:rsid w:val="008D0F20"/>
    <w:rsid w:val="008D3EC3"/>
    <w:rsid w:val="008D645C"/>
    <w:rsid w:val="008E34A8"/>
    <w:rsid w:val="008E49D8"/>
    <w:rsid w:val="008E6FF8"/>
    <w:rsid w:val="008F18B1"/>
    <w:rsid w:val="008F2382"/>
    <w:rsid w:val="008F2E0C"/>
    <w:rsid w:val="008F4AAB"/>
    <w:rsid w:val="008F6B4E"/>
    <w:rsid w:val="00901BE8"/>
    <w:rsid w:val="00903567"/>
    <w:rsid w:val="00903E7C"/>
    <w:rsid w:val="009040FA"/>
    <w:rsid w:val="00904315"/>
    <w:rsid w:val="00913B7D"/>
    <w:rsid w:val="0092394D"/>
    <w:rsid w:val="00926626"/>
    <w:rsid w:val="00931C7A"/>
    <w:rsid w:val="00932A4E"/>
    <w:rsid w:val="00940F40"/>
    <w:rsid w:val="00941984"/>
    <w:rsid w:val="00942EF8"/>
    <w:rsid w:val="00943440"/>
    <w:rsid w:val="00951B80"/>
    <w:rsid w:val="00952294"/>
    <w:rsid w:val="00952491"/>
    <w:rsid w:val="00961EB6"/>
    <w:rsid w:val="0096208F"/>
    <w:rsid w:val="00964A01"/>
    <w:rsid w:val="009765FA"/>
    <w:rsid w:val="00977497"/>
    <w:rsid w:val="009810F4"/>
    <w:rsid w:val="0098736B"/>
    <w:rsid w:val="009908A9"/>
    <w:rsid w:val="00990903"/>
    <w:rsid w:val="00990CB7"/>
    <w:rsid w:val="00991725"/>
    <w:rsid w:val="0099236B"/>
    <w:rsid w:val="00992462"/>
    <w:rsid w:val="009928D8"/>
    <w:rsid w:val="00993B93"/>
    <w:rsid w:val="0099633F"/>
    <w:rsid w:val="00997E56"/>
    <w:rsid w:val="009A018B"/>
    <w:rsid w:val="009A3A41"/>
    <w:rsid w:val="009A3E89"/>
    <w:rsid w:val="009A6CD4"/>
    <w:rsid w:val="009B3443"/>
    <w:rsid w:val="009B3F9C"/>
    <w:rsid w:val="009B4D5B"/>
    <w:rsid w:val="009B7295"/>
    <w:rsid w:val="009C5532"/>
    <w:rsid w:val="009D255E"/>
    <w:rsid w:val="009D43F4"/>
    <w:rsid w:val="009D5065"/>
    <w:rsid w:val="009E30DD"/>
    <w:rsid w:val="009E48F4"/>
    <w:rsid w:val="009F0861"/>
    <w:rsid w:val="009F2503"/>
    <w:rsid w:val="009F3C5D"/>
    <w:rsid w:val="009F4B94"/>
    <w:rsid w:val="009F65A6"/>
    <w:rsid w:val="00A01578"/>
    <w:rsid w:val="00A057DB"/>
    <w:rsid w:val="00A13661"/>
    <w:rsid w:val="00A14DA0"/>
    <w:rsid w:val="00A16A5D"/>
    <w:rsid w:val="00A21731"/>
    <w:rsid w:val="00A26A10"/>
    <w:rsid w:val="00A364D8"/>
    <w:rsid w:val="00A3677B"/>
    <w:rsid w:val="00A36880"/>
    <w:rsid w:val="00A36F69"/>
    <w:rsid w:val="00A400F0"/>
    <w:rsid w:val="00A51372"/>
    <w:rsid w:val="00A5178A"/>
    <w:rsid w:val="00A51EAB"/>
    <w:rsid w:val="00A53483"/>
    <w:rsid w:val="00A60C4C"/>
    <w:rsid w:val="00A60DD3"/>
    <w:rsid w:val="00A6331C"/>
    <w:rsid w:val="00A636DC"/>
    <w:rsid w:val="00A71EDF"/>
    <w:rsid w:val="00A72977"/>
    <w:rsid w:val="00A74B87"/>
    <w:rsid w:val="00A753C3"/>
    <w:rsid w:val="00A84615"/>
    <w:rsid w:val="00A85DEC"/>
    <w:rsid w:val="00A862E9"/>
    <w:rsid w:val="00A90C13"/>
    <w:rsid w:val="00A927FF"/>
    <w:rsid w:val="00A93902"/>
    <w:rsid w:val="00A94A03"/>
    <w:rsid w:val="00AA5CCD"/>
    <w:rsid w:val="00AA66D6"/>
    <w:rsid w:val="00AA6DE3"/>
    <w:rsid w:val="00AB0E4C"/>
    <w:rsid w:val="00AB63DA"/>
    <w:rsid w:val="00AD01A1"/>
    <w:rsid w:val="00AD085E"/>
    <w:rsid w:val="00AD5546"/>
    <w:rsid w:val="00AE1127"/>
    <w:rsid w:val="00AE2061"/>
    <w:rsid w:val="00AF3B0C"/>
    <w:rsid w:val="00AF3CB4"/>
    <w:rsid w:val="00AF40D8"/>
    <w:rsid w:val="00AF5C80"/>
    <w:rsid w:val="00AF62D9"/>
    <w:rsid w:val="00B025C5"/>
    <w:rsid w:val="00B06C4D"/>
    <w:rsid w:val="00B074DE"/>
    <w:rsid w:val="00B10438"/>
    <w:rsid w:val="00B14648"/>
    <w:rsid w:val="00B15A25"/>
    <w:rsid w:val="00B2311F"/>
    <w:rsid w:val="00B267C2"/>
    <w:rsid w:val="00B35350"/>
    <w:rsid w:val="00B416AE"/>
    <w:rsid w:val="00B43618"/>
    <w:rsid w:val="00B449AA"/>
    <w:rsid w:val="00B45525"/>
    <w:rsid w:val="00B466B1"/>
    <w:rsid w:val="00B47268"/>
    <w:rsid w:val="00B47C9B"/>
    <w:rsid w:val="00B51DAB"/>
    <w:rsid w:val="00B55226"/>
    <w:rsid w:val="00B60380"/>
    <w:rsid w:val="00B62930"/>
    <w:rsid w:val="00B629CE"/>
    <w:rsid w:val="00B649B6"/>
    <w:rsid w:val="00B72805"/>
    <w:rsid w:val="00B7284B"/>
    <w:rsid w:val="00B81AFE"/>
    <w:rsid w:val="00B84039"/>
    <w:rsid w:val="00B84B12"/>
    <w:rsid w:val="00B90E01"/>
    <w:rsid w:val="00B91E7E"/>
    <w:rsid w:val="00B933DF"/>
    <w:rsid w:val="00BA1503"/>
    <w:rsid w:val="00BB1097"/>
    <w:rsid w:val="00BB1920"/>
    <w:rsid w:val="00BB2849"/>
    <w:rsid w:val="00BB4784"/>
    <w:rsid w:val="00BC333D"/>
    <w:rsid w:val="00BD2604"/>
    <w:rsid w:val="00BD2DC2"/>
    <w:rsid w:val="00BD4FB5"/>
    <w:rsid w:val="00BD7555"/>
    <w:rsid w:val="00BE26FD"/>
    <w:rsid w:val="00BE4624"/>
    <w:rsid w:val="00BE7436"/>
    <w:rsid w:val="00BF341E"/>
    <w:rsid w:val="00BF3AB9"/>
    <w:rsid w:val="00BF6B68"/>
    <w:rsid w:val="00BF7F73"/>
    <w:rsid w:val="00C05B76"/>
    <w:rsid w:val="00C0616B"/>
    <w:rsid w:val="00C16295"/>
    <w:rsid w:val="00C17300"/>
    <w:rsid w:val="00C214B7"/>
    <w:rsid w:val="00C21C18"/>
    <w:rsid w:val="00C21F79"/>
    <w:rsid w:val="00C30EF3"/>
    <w:rsid w:val="00C32565"/>
    <w:rsid w:val="00C3373F"/>
    <w:rsid w:val="00C348E2"/>
    <w:rsid w:val="00C353EB"/>
    <w:rsid w:val="00C40219"/>
    <w:rsid w:val="00C4231C"/>
    <w:rsid w:val="00C45255"/>
    <w:rsid w:val="00C525F8"/>
    <w:rsid w:val="00C54F13"/>
    <w:rsid w:val="00C54F81"/>
    <w:rsid w:val="00C55E22"/>
    <w:rsid w:val="00C567D3"/>
    <w:rsid w:val="00C65520"/>
    <w:rsid w:val="00C66E1B"/>
    <w:rsid w:val="00C673DC"/>
    <w:rsid w:val="00C71E7B"/>
    <w:rsid w:val="00C71EB6"/>
    <w:rsid w:val="00C75309"/>
    <w:rsid w:val="00C7530F"/>
    <w:rsid w:val="00C763E0"/>
    <w:rsid w:val="00C76CAA"/>
    <w:rsid w:val="00C816E4"/>
    <w:rsid w:val="00C82466"/>
    <w:rsid w:val="00C86D8C"/>
    <w:rsid w:val="00C9371B"/>
    <w:rsid w:val="00C95A18"/>
    <w:rsid w:val="00C9648B"/>
    <w:rsid w:val="00C96C94"/>
    <w:rsid w:val="00CA3BD5"/>
    <w:rsid w:val="00CA42FC"/>
    <w:rsid w:val="00CA6FEB"/>
    <w:rsid w:val="00CA7401"/>
    <w:rsid w:val="00CB32C6"/>
    <w:rsid w:val="00CB35C2"/>
    <w:rsid w:val="00CB5665"/>
    <w:rsid w:val="00CC16EB"/>
    <w:rsid w:val="00CC2073"/>
    <w:rsid w:val="00CC26CA"/>
    <w:rsid w:val="00CC2E7F"/>
    <w:rsid w:val="00CC3083"/>
    <w:rsid w:val="00CC6869"/>
    <w:rsid w:val="00CC7738"/>
    <w:rsid w:val="00CD123E"/>
    <w:rsid w:val="00CD3020"/>
    <w:rsid w:val="00CD5E61"/>
    <w:rsid w:val="00CE2236"/>
    <w:rsid w:val="00CE416E"/>
    <w:rsid w:val="00CE4358"/>
    <w:rsid w:val="00CE58B2"/>
    <w:rsid w:val="00CE6089"/>
    <w:rsid w:val="00CF1E51"/>
    <w:rsid w:val="00CF367D"/>
    <w:rsid w:val="00CF5DEE"/>
    <w:rsid w:val="00D01AE6"/>
    <w:rsid w:val="00D04FD7"/>
    <w:rsid w:val="00D076A6"/>
    <w:rsid w:val="00D1185E"/>
    <w:rsid w:val="00D2303B"/>
    <w:rsid w:val="00D338B7"/>
    <w:rsid w:val="00D3398E"/>
    <w:rsid w:val="00D40EE9"/>
    <w:rsid w:val="00D44E55"/>
    <w:rsid w:val="00D46D6E"/>
    <w:rsid w:val="00D51370"/>
    <w:rsid w:val="00D52F01"/>
    <w:rsid w:val="00D566EA"/>
    <w:rsid w:val="00D566F2"/>
    <w:rsid w:val="00D57DDA"/>
    <w:rsid w:val="00D60849"/>
    <w:rsid w:val="00D6506F"/>
    <w:rsid w:val="00D67F70"/>
    <w:rsid w:val="00D7567D"/>
    <w:rsid w:val="00D80A2B"/>
    <w:rsid w:val="00D825AD"/>
    <w:rsid w:val="00D82BED"/>
    <w:rsid w:val="00D84879"/>
    <w:rsid w:val="00D90636"/>
    <w:rsid w:val="00D92435"/>
    <w:rsid w:val="00D9396D"/>
    <w:rsid w:val="00D97322"/>
    <w:rsid w:val="00DA081D"/>
    <w:rsid w:val="00DA2EE9"/>
    <w:rsid w:val="00DA56D3"/>
    <w:rsid w:val="00DB13DE"/>
    <w:rsid w:val="00DB4956"/>
    <w:rsid w:val="00DB4D60"/>
    <w:rsid w:val="00DB62AB"/>
    <w:rsid w:val="00DB6D96"/>
    <w:rsid w:val="00DC094F"/>
    <w:rsid w:val="00DC281C"/>
    <w:rsid w:val="00DC7A14"/>
    <w:rsid w:val="00DD0E89"/>
    <w:rsid w:val="00DD4156"/>
    <w:rsid w:val="00DE0614"/>
    <w:rsid w:val="00DE3C08"/>
    <w:rsid w:val="00DF13B7"/>
    <w:rsid w:val="00DF21C3"/>
    <w:rsid w:val="00DF2730"/>
    <w:rsid w:val="00DF2D89"/>
    <w:rsid w:val="00DF6AFA"/>
    <w:rsid w:val="00DF74B7"/>
    <w:rsid w:val="00E01F77"/>
    <w:rsid w:val="00E0367A"/>
    <w:rsid w:val="00E06958"/>
    <w:rsid w:val="00E07809"/>
    <w:rsid w:val="00E156AE"/>
    <w:rsid w:val="00E177BE"/>
    <w:rsid w:val="00E17827"/>
    <w:rsid w:val="00E201A6"/>
    <w:rsid w:val="00E25656"/>
    <w:rsid w:val="00E27DCC"/>
    <w:rsid w:val="00E30788"/>
    <w:rsid w:val="00E3316D"/>
    <w:rsid w:val="00E35022"/>
    <w:rsid w:val="00E3531E"/>
    <w:rsid w:val="00E356AC"/>
    <w:rsid w:val="00E36CFC"/>
    <w:rsid w:val="00E404EE"/>
    <w:rsid w:val="00E405B4"/>
    <w:rsid w:val="00E41248"/>
    <w:rsid w:val="00E425DA"/>
    <w:rsid w:val="00E436A3"/>
    <w:rsid w:val="00E43B28"/>
    <w:rsid w:val="00E45A0B"/>
    <w:rsid w:val="00E54F8C"/>
    <w:rsid w:val="00E61228"/>
    <w:rsid w:val="00E641F5"/>
    <w:rsid w:val="00E670DE"/>
    <w:rsid w:val="00E67945"/>
    <w:rsid w:val="00E70C75"/>
    <w:rsid w:val="00E74748"/>
    <w:rsid w:val="00E758A7"/>
    <w:rsid w:val="00E75CA1"/>
    <w:rsid w:val="00E760A6"/>
    <w:rsid w:val="00E85514"/>
    <w:rsid w:val="00E85CBF"/>
    <w:rsid w:val="00E90627"/>
    <w:rsid w:val="00E93602"/>
    <w:rsid w:val="00E94B92"/>
    <w:rsid w:val="00E95132"/>
    <w:rsid w:val="00E969F7"/>
    <w:rsid w:val="00EA25B0"/>
    <w:rsid w:val="00EA6F7E"/>
    <w:rsid w:val="00EB34DF"/>
    <w:rsid w:val="00EB50F7"/>
    <w:rsid w:val="00EB57D7"/>
    <w:rsid w:val="00EC557E"/>
    <w:rsid w:val="00ED3660"/>
    <w:rsid w:val="00ED7B01"/>
    <w:rsid w:val="00EE1730"/>
    <w:rsid w:val="00EE6ACB"/>
    <w:rsid w:val="00EE70CB"/>
    <w:rsid w:val="00EE7348"/>
    <w:rsid w:val="00EE75BB"/>
    <w:rsid w:val="00EF56C5"/>
    <w:rsid w:val="00F012A1"/>
    <w:rsid w:val="00F0479F"/>
    <w:rsid w:val="00F05CF1"/>
    <w:rsid w:val="00F10EE8"/>
    <w:rsid w:val="00F1325F"/>
    <w:rsid w:val="00F15E29"/>
    <w:rsid w:val="00F15E4F"/>
    <w:rsid w:val="00F164DD"/>
    <w:rsid w:val="00F2054D"/>
    <w:rsid w:val="00F22A0B"/>
    <w:rsid w:val="00F25100"/>
    <w:rsid w:val="00F2576B"/>
    <w:rsid w:val="00F30CAB"/>
    <w:rsid w:val="00F37EE9"/>
    <w:rsid w:val="00F41D3E"/>
    <w:rsid w:val="00F4478F"/>
    <w:rsid w:val="00F46CD8"/>
    <w:rsid w:val="00F50B19"/>
    <w:rsid w:val="00F5129B"/>
    <w:rsid w:val="00F52A8E"/>
    <w:rsid w:val="00F5612E"/>
    <w:rsid w:val="00F57E01"/>
    <w:rsid w:val="00F60FB1"/>
    <w:rsid w:val="00F61450"/>
    <w:rsid w:val="00F646F0"/>
    <w:rsid w:val="00F666C9"/>
    <w:rsid w:val="00F71564"/>
    <w:rsid w:val="00F774B9"/>
    <w:rsid w:val="00F776D0"/>
    <w:rsid w:val="00F879F2"/>
    <w:rsid w:val="00F91FC3"/>
    <w:rsid w:val="00F94F5A"/>
    <w:rsid w:val="00F953B6"/>
    <w:rsid w:val="00FA236C"/>
    <w:rsid w:val="00FA2AEE"/>
    <w:rsid w:val="00FA6439"/>
    <w:rsid w:val="00FA791D"/>
    <w:rsid w:val="00FB060B"/>
    <w:rsid w:val="00FB365B"/>
    <w:rsid w:val="00FB57BB"/>
    <w:rsid w:val="00FC4020"/>
    <w:rsid w:val="00FC69B5"/>
    <w:rsid w:val="00FC77CE"/>
    <w:rsid w:val="00FD408C"/>
    <w:rsid w:val="00FD4D2E"/>
    <w:rsid w:val="00FD4F0A"/>
    <w:rsid w:val="00FD6D2F"/>
    <w:rsid w:val="00FD6F7D"/>
    <w:rsid w:val="00FE4FDA"/>
    <w:rsid w:val="00FE6693"/>
    <w:rsid w:val="00FE674D"/>
    <w:rsid w:val="00FF1ECD"/>
    <w:rsid w:val="00FF4B36"/>
    <w:rsid w:val="00FF68E1"/>
    <w:rsid w:val="00FF749A"/>
    <w:rsid w:val="0198854A"/>
    <w:rsid w:val="0CA44BF8"/>
    <w:rsid w:val="0D269C3B"/>
    <w:rsid w:val="0EDF3D87"/>
    <w:rsid w:val="1206A2B0"/>
    <w:rsid w:val="1A972728"/>
    <w:rsid w:val="1C2E0C49"/>
    <w:rsid w:val="1D222A80"/>
    <w:rsid w:val="1F9AE7E7"/>
    <w:rsid w:val="204714C9"/>
    <w:rsid w:val="22174F75"/>
    <w:rsid w:val="2404B954"/>
    <w:rsid w:val="2C2C9CAE"/>
    <w:rsid w:val="2E51F8F3"/>
    <w:rsid w:val="2ED2CABF"/>
    <w:rsid w:val="3A98BE57"/>
    <w:rsid w:val="3BC09A71"/>
    <w:rsid w:val="3BCA4973"/>
    <w:rsid w:val="421EA4A6"/>
    <w:rsid w:val="46F27FA0"/>
    <w:rsid w:val="49D28C16"/>
    <w:rsid w:val="4EC53C32"/>
    <w:rsid w:val="5B14ADE0"/>
    <w:rsid w:val="5B8165EC"/>
    <w:rsid w:val="5C27B248"/>
    <w:rsid w:val="6179A32C"/>
    <w:rsid w:val="6315738D"/>
    <w:rsid w:val="63315568"/>
    <w:rsid w:val="63398860"/>
    <w:rsid w:val="65DC8032"/>
    <w:rsid w:val="670BE971"/>
    <w:rsid w:val="6A2C1D58"/>
    <w:rsid w:val="6A5BBB7A"/>
    <w:rsid w:val="728389E9"/>
    <w:rsid w:val="72EE1ECD"/>
    <w:rsid w:val="78AFCE48"/>
    <w:rsid w:val="7F8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AB4FE287-408A-4915-97E1-011575F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67"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1E11AF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02491F"/>
  </w:style>
  <w:style w:type="paragraph" w:customStyle="1" w:styleId="TableParagraph">
    <w:name w:val="Table Paragraph"/>
    <w:basedOn w:val="Normal"/>
    <w:uiPriority w:val="1"/>
    <w:qFormat/>
    <w:rsid w:val="00403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1693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47C9B"/>
  </w:style>
  <w:style w:type="character" w:customStyle="1" w:styleId="ui-provider">
    <w:name w:val="ui-provider"/>
    <w:basedOn w:val="DefaultParagraphFont"/>
    <w:rsid w:val="00C82466"/>
  </w:style>
  <w:style w:type="paragraph" w:styleId="Revision">
    <w:name w:val="Revision"/>
    <w:hidden/>
    <w:uiPriority w:val="99"/>
    <w:semiHidden/>
    <w:rsid w:val="009B4D5B"/>
    <w:pPr>
      <w:spacing w:after="0" w:line="240" w:lineRule="auto"/>
    </w:pPr>
  </w:style>
  <w:style w:type="paragraph" w:customStyle="1" w:styleId="pf0">
    <w:name w:val="pf0"/>
    <w:basedOn w:val="Normal"/>
    <w:rsid w:val="00D5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52F0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97749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DB62AB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0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7646</TotalTime>
  <Pages>7</Pages>
  <Words>2550</Words>
  <Characters>14535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50</cp:revision>
  <cp:lastPrinted>2020-02-14T21:30:00Z</cp:lastPrinted>
  <dcterms:created xsi:type="dcterms:W3CDTF">2024-03-06T14:22:00Z</dcterms:created>
  <dcterms:modified xsi:type="dcterms:W3CDTF">2024-05-24T13:24:00Z</dcterms:modified>
  <cp:contentStatus/>
</cp:coreProperties>
</file>