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4F4DA" w14:textId="77777777" w:rsidR="00DB48FE" w:rsidRDefault="00146379">
      <w:pPr>
        <w:jc w:val="center"/>
        <w:rPr>
          <w:u w:val="single"/>
        </w:rPr>
      </w:pPr>
      <w:r>
        <w:rPr>
          <w:u w:val="single"/>
        </w:rPr>
        <w:t>CPAF Marking Grid Information from September 2022</w:t>
      </w:r>
    </w:p>
    <w:p w14:paraId="46422D01" w14:textId="77777777" w:rsidR="00DB48FE" w:rsidRDefault="00DB48FE">
      <w:pPr>
        <w:jc w:val="center"/>
        <w:rPr>
          <w:u w:val="single"/>
        </w:rPr>
      </w:pPr>
    </w:p>
    <w:p w14:paraId="73C56916" w14:textId="77777777" w:rsidR="00DB48FE" w:rsidRDefault="00DB48FE">
      <w:pPr>
        <w:jc w:val="center"/>
        <w:rPr>
          <w:u w:val="single"/>
        </w:rPr>
      </w:pPr>
    </w:p>
    <w:p w14:paraId="775D5624" w14:textId="77777777" w:rsidR="00DB48FE" w:rsidRDefault="00146379">
      <w:pPr>
        <w:rPr>
          <w:u w:val="single"/>
        </w:rPr>
      </w:pPr>
      <w:r>
        <w:rPr>
          <w:u w:val="single"/>
        </w:rPr>
        <w:t>Key Information</w:t>
      </w:r>
    </w:p>
    <w:p w14:paraId="52BEABAC" w14:textId="77777777" w:rsidR="00DB48FE" w:rsidRDefault="003A7C74">
      <w:pPr>
        <w:numPr>
          <w:ilvl w:val="0"/>
          <w:numId w:val="1"/>
        </w:numPr>
      </w:pPr>
      <w:hyperlink r:id="rId5">
        <w:r w:rsidR="00146379">
          <w:rPr>
            <w:color w:val="1155CC"/>
            <w:u w:val="single"/>
          </w:rPr>
          <w:t>All key information is explained on this recording</w:t>
        </w:r>
      </w:hyperlink>
      <w:r w:rsidR="00146379">
        <w:t>, please take the time to watch</w:t>
      </w:r>
    </w:p>
    <w:p w14:paraId="77CCC46A" w14:textId="77777777" w:rsidR="00DB48FE" w:rsidRDefault="00146379">
      <w:pPr>
        <w:numPr>
          <w:ilvl w:val="0"/>
          <w:numId w:val="1"/>
        </w:numPr>
      </w:pPr>
      <w:r>
        <w:t>All students who are out on placement after September 2022 will be using the CPAF (Common Placement Assessment Framework designed by the CSP) and ALL students will be on Pass/Fail. No % mark is to be provided, but you can use the terminology to provide additional feedback (e.g. pass/ good pass/ excellent pass)</w:t>
      </w:r>
    </w:p>
    <w:p w14:paraId="05981C09" w14:textId="77777777" w:rsidR="00DB48FE" w:rsidRDefault="00146379">
      <w:pPr>
        <w:numPr>
          <w:ilvl w:val="0"/>
          <w:numId w:val="1"/>
        </w:numPr>
      </w:pPr>
      <w:r>
        <w:t>The paperwork is for the following blocks</w:t>
      </w:r>
    </w:p>
    <w:p w14:paraId="37782CC2" w14:textId="77777777" w:rsidR="00DB48FE" w:rsidRDefault="00DB48FE"/>
    <w:tbl>
      <w:tblPr>
        <w:tblStyle w:val="TableGrid"/>
        <w:tblW w:w="9029" w:type="dxa"/>
        <w:tblLayout w:type="fixed"/>
        <w:tblLook w:val="0620" w:firstRow="1" w:lastRow="0" w:firstColumn="0" w:lastColumn="0" w:noHBand="1" w:noVBand="1"/>
      </w:tblPr>
      <w:tblGrid>
        <w:gridCol w:w="1875"/>
        <w:gridCol w:w="2610"/>
        <w:gridCol w:w="2250"/>
        <w:gridCol w:w="2294"/>
      </w:tblGrid>
      <w:tr w:rsidR="00DB48FE" w14:paraId="523CF0CC" w14:textId="77777777" w:rsidTr="003A7C74">
        <w:tc>
          <w:tcPr>
            <w:tcW w:w="1875" w:type="dxa"/>
          </w:tcPr>
          <w:p w14:paraId="1859DDC1" w14:textId="77777777" w:rsidR="00DB48FE" w:rsidRDefault="00146379">
            <w:pPr>
              <w:widowControl w:val="0"/>
              <w:pBdr>
                <w:top w:val="nil"/>
                <w:left w:val="nil"/>
                <w:bottom w:val="nil"/>
                <w:right w:val="nil"/>
                <w:between w:val="nil"/>
              </w:pBdr>
              <w:rPr>
                <w:b/>
                <w:sz w:val="20"/>
                <w:szCs w:val="20"/>
              </w:rPr>
            </w:pPr>
            <w:r>
              <w:rPr>
                <w:b/>
                <w:sz w:val="20"/>
                <w:szCs w:val="20"/>
              </w:rPr>
              <w:t>CPAF Paperwork</w:t>
            </w:r>
          </w:p>
        </w:tc>
        <w:tc>
          <w:tcPr>
            <w:tcW w:w="2610" w:type="dxa"/>
          </w:tcPr>
          <w:p w14:paraId="4A9CEF55" w14:textId="77777777" w:rsidR="00DB48FE" w:rsidRDefault="00146379">
            <w:pPr>
              <w:widowControl w:val="0"/>
              <w:pBdr>
                <w:top w:val="nil"/>
                <w:left w:val="nil"/>
                <w:bottom w:val="nil"/>
                <w:right w:val="nil"/>
                <w:between w:val="nil"/>
              </w:pBdr>
              <w:rPr>
                <w:b/>
                <w:sz w:val="20"/>
                <w:szCs w:val="20"/>
              </w:rPr>
            </w:pPr>
            <w:r>
              <w:rPr>
                <w:b/>
                <w:sz w:val="20"/>
                <w:szCs w:val="20"/>
              </w:rPr>
              <w:t>BSc Placement Block</w:t>
            </w:r>
          </w:p>
        </w:tc>
        <w:tc>
          <w:tcPr>
            <w:tcW w:w="2250" w:type="dxa"/>
          </w:tcPr>
          <w:p w14:paraId="01966EE4" w14:textId="77777777" w:rsidR="00DB48FE" w:rsidRDefault="00146379">
            <w:pPr>
              <w:widowControl w:val="0"/>
              <w:pBdr>
                <w:top w:val="nil"/>
                <w:left w:val="nil"/>
                <w:bottom w:val="nil"/>
                <w:right w:val="nil"/>
                <w:between w:val="nil"/>
              </w:pBdr>
              <w:rPr>
                <w:b/>
                <w:sz w:val="20"/>
                <w:szCs w:val="20"/>
              </w:rPr>
            </w:pPr>
            <w:r>
              <w:rPr>
                <w:b/>
                <w:sz w:val="20"/>
                <w:szCs w:val="20"/>
              </w:rPr>
              <w:t>MSc Placement Block</w:t>
            </w:r>
          </w:p>
        </w:tc>
        <w:tc>
          <w:tcPr>
            <w:tcW w:w="2294" w:type="dxa"/>
          </w:tcPr>
          <w:p w14:paraId="0328E099" w14:textId="77777777" w:rsidR="00DB48FE" w:rsidRDefault="00146379">
            <w:pPr>
              <w:widowControl w:val="0"/>
              <w:pBdr>
                <w:top w:val="nil"/>
                <w:left w:val="nil"/>
                <w:bottom w:val="nil"/>
                <w:right w:val="nil"/>
                <w:between w:val="nil"/>
              </w:pBdr>
              <w:rPr>
                <w:b/>
                <w:sz w:val="20"/>
                <w:szCs w:val="20"/>
              </w:rPr>
            </w:pPr>
            <w:r>
              <w:rPr>
                <w:b/>
                <w:sz w:val="20"/>
                <w:szCs w:val="20"/>
              </w:rPr>
              <w:t>DA Placement Block</w:t>
            </w:r>
          </w:p>
        </w:tc>
      </w:tr>
      <w:tr w:rsidR="00DB48FE" w14:paraId="3BB35A43" w14:textId="77777777" w:rsidTr="003A7C74">
        <w:tc>
          <w:tcPr>
            <w:tcW w:w="1875" w:type="dxa"/>
          </w:tcPr>
          <w:p w14:paraId="06EEB5B0" w14:textId="77777777" w:rsidR="00DB48FE" w:rsidRDefault="00146379">
            <w:pPr>
              <w:widowControl w:val="0"/>
              <w:pBdr>
                <w:top w:val="nil"/>
                <w:left w:val="nil"/>
                <w:bottom w:val="nil"/>
                <w:right w:val="nil"/>
                <w:between w:val="nil"/>
              </w:pBdr>
              <w:rPr>
                <w:b/>
                <w:sz w:val="20"/>
                <w:szCs w:val="20"/>
              </w:rPr>
            </w:pPr>
            <w:r>
              <w:rPr>
                <w:b/>
                <w:sz w:val="20"/>
                <w:szCs w:val="20"/>
              </w:rPr>
              <w:t>Level 4</w:t>
            </w:r>
          </w:p>
        </w:tc>
        <w:tc>
          <w:tcPr>
            <w:tcW w:w="2610" w:type="dxa"/>
          </w:tcPr>
          <w:p w14:paraId="0EBCD790" w14:textId="77777777" w:rsidR="00DB48FE" w:rsidRDefault="00146379">
            <w:pPr>
              <w:widowControl w:val="0"/>
              <w:pBdr>
                <w:top w:val="nil"/>
                <w:left w:val="nil"/>
                <w:bottom w:val="nil"/>
                <w:right w:val="nil"/>
                <w:between w:val="nil"/>
              </w:pBdr>
              <w:rPr>
                <w:sz w:val="20"/>
                <w:szCs w:val="20"/>
              </w:rPr>
            </w:pPr>
            <w:r>
              <w:rPr>
                <w:sz w:val="20"/>
                <w:szCs w:val="20"/>
              </w:rPr>
              <w:t>Practice Experience 1</w:t>
            </w:r>
          </w:p>
        </w:tc>
        <w:tc>
          <w:tcPr>
            <w:tcW w:w="2250" w:type="dxa"/>
          </w:tcPr>
          <w:p w14:paraId="7DA672BF" w14:textId="77777777" w:rsidR="00DB48FE" w:rsidRDefault="00146379">
            <w:pPr>
              <w:widowControl w:val="0"/>
              <w:pBdr>
                <w:top w:val="nil"/>
                <w:left w:val="nil"/>
                <w:bottom w:val="nil"/>
                <w:right w:val="nil"/>
                <w:between w:val="nil"/>
              </w:pBdr>
              <w:rPr>
                <w:sz w:val="20"/>
                <w:szCs w:val="20"/>
              </w:rPr>
            </w:pPr>
            <w:r>
              <w:rPr>
                <w:sz w:val="20"/>
                <w:szCs w:val="20"/>
              </w:rPr>
              <w:t>PR1</w:t>
            </w:r>
          </w:p>
        </w:tc>
        <w:tc>
          <w:tcPr>
            <w:tcW w:w="2294" w:type="dxa"/>
          </w:tcPr>
          <w:p w14:paraId="758CF581" w14:textId="77777777" w:rsidR="00DB48FE" w:rsidRDefault="00146379">
            <w:pPr>
              <w:widowControl w:val="0"/>
              <w:pBdr>
                <w:top w:val="nil"/>
                <w:left w:val="nil"/>
                <w:bottom w:val="nil"/>
                <w:right w:val="nil"/>
                <w:between w:val="nil"/>
              </w:pBdr>
              <w:rPr>
                <w:sz w:val="20"/>
                <w:szCs w:val="20"/>
              </w:rPr>
            </w:pPr>
            <w:r>
              <w:rPr>
                <w:sz w:val="20"/>
                <w:szCs w:val="20"/>
              </w:rPr>
              <w:t>Block 1</w:t>
            </w:r>
          </w:p>
        </w:tc>
      </w:tr>
      <w:tr w:rsidR="00DB48FE" w14:paraId="032498E0" w14:textId="77777777" w:rsidTr="003A7C74">
        <w:tc>
          <w:tcPr>
            <w:tcW w:w="1875" w:type="dxa"/>
          </w:tcPr>
          <w:p w14:paraId="6A9A94AE" w14:textId="77777777" w:rsidR="00DB48FE" w:rsidRDefault="00146379">
            <w:pPr>
              <w:widowControl w:val="0"/>
              <w:pBdr>
                <w:top w:val="nil"/>
                <w:left w:val="nil"/>
                <w:bottom w:val="nil"/>
                <w:right w:val="nil"/>
                <w:between w:val="nil"/>
              </w:pBdr>
              <w:rPr>
                <w:b/>
                <w:sz w:val="20"/>
                <w:szCs w:val="20"/>
              </w:rPr>
            </w:pPr>
            <w:r>
              <w:rPr>
                <w:b/>
                <w:sz w:val="20"/>
                <w:szCs w:val="20"/>
              </w:rPr>
              <w:t>Level 5</w:t>
            </w:r>
          </w:p>
        </w:tc>
        <w:tc>
          <w:tcPr>
            <w:tcW w:w="2610" w:type="dxa"/>
          </w:tcPr>
          <w:p w14:paraId="4746B6F8" w14:textId="77777777" w:rsidR="00DB48FE" w:rsidRDefault="00146379">
            <w:pPr>
              <w:widowControl w:val="0"/>
              <w:pBdr>
                <w:top w:val="nil"/>
                <w:left w:val="nil"/>
                <w:bottom w:val="nil"/>
                <w:right w:val="nil"/>
                <w:between w:val="nil"/>
              </w:pBdr>
              <w:rPr>
                <w:sz w:val="20"/>
                <w:szCs w:val="20"/>
              </w:rPr>
            </w:pPr>
            <w:r>
              <w:rPr>
                <w:sz w:val="20"/>
                <w:szCs w:val="20"/>
              </w:rPr>
              <w:t>Practice Experience 2 + 3</w:t>
            </w:r>
          </w:p>
        </w:tc>
        <w:tc>
          <w:tcPr>
            <w:tcW w:w="2250" w:type="dxa"/>
          </w:tcPr>
          <w:p w14:paraId="7EE6272D" w14:textId="77777777" w:rsidR="00DB48FE" w:rsidRDefault="00146379">
            <w:pPr>
              <w:widowControl w:val="0"/>
              <w:pBdr>
                <w:top w:val="nil"/>
                <w:left w:val="nil"/>
                <w:bottom w:val="nil"/>
                <w:right w:val="nil"/>
                <w:between w:val="nil"/>
              </w:pBdr>
              <w:rPr>
                <w:sz w:val="20"/>
                <w:szCs w:val="20"/>
              </w:rPr>
            </w:pPr>
            <w:r>
              <w:rPr>
                <w:sz w:val="20"/>
                <w:szCs w:val="20"/>
              </w:rPr>
              <w:t>PR2 + PR3</w:t>
            </w:r>
          </w:p>
        </w:tc>
        <w:tc>
          <w:tcPr>
            <w:tcW w:w="2294" w:type="dxa"/>
          </w:tcPr>
          <w:p w14:paraId="5E79D671" w14:textId="77777777" w:rsidR="00DB48FE" w:rsidRDefault="00146379">
            <w:pPr>
              <w:widowControl w:val="0"/>
              <w:pBdr>
                <w:top w:val="nil"/>
                <w:left w:val="nil"/>
                <w:bottom w:val="nil"/>
                <w:right w:val="nil"/>
                <w:between w:val="nil"/>
              </w:pBdr>
              <w:rPr>
                <w:sz w:val="20"/>
                <w:szCs w:val="20"/>
              </w:rPr>
            </w:pPr>
            <w:r>
              <w:rPr>
                <w:sz w:val="20"/>
                <w:szCs w:val="20"/>
              </w:rPr>
              <w:t>Block 2 + Block 3</w:t>
            </w:r>
          </w:p>
        </w:tc>
      </w:tr>
      <w:tr w:rsidR="00DB48FE" w14:paraId="4A83FC10" w14:textId="77777777" w:rsidTr="003A7C74">
        <w:tc>
          <w:tcPr>
            <w:tcW w:w="1875" w:type="dxa"/>
          </w:tcPr>
          <w:p w14:paraId="2E098B77" w14:textId="77777777" w:rsidR="00DB48FE" w:rsidRDefault="00146379">
            <w:pPr>
              <w:widowControl w:val="0"/>
              <w:pBdr>
                <w:top w:val="nil"/>
                <w:left w:val="nil"/>
                <w:bottom w:val="nil"/>
                <w:right w:val="nil"/>
                <w:between w:val="nil"/>
              </w:pBdr>
              <w:rPr>
                <w:b/>
                <w:sz w:val="20"/>
                <w:szCs w:val="20"/>
              </w:rPr>
            </w:pPr>
            <w:r>
              <w:rPr>
                <w:b/>
                <w:sz w:val="20"/>
                <w:szCs w:val="20"/>
              </w:rPr>
              <w:t>Level 6</w:t>
            </w:r>
          </w:p>
        </w:tc>
        <w:tc>
          <w:tcPr>
            <w:tcW w:w="2610" w:type="dxa"/>
          </w:tcPr>
          <w:p w14:paraId="3F380FA7" w14:textId="77777777" w:rsidR="00DB48FE" w:rsidRDefault="00146379">
            <w:pPr>
              <w:widowControl w:val="0"/>
              <w:pBdr>
                <w:top w:val="nil"/>
                <w:left w:val="nil"/>
                <w:bottom w:val="nil"/>
                <w:right w:val="nil"/>
                <w:between w:val="nil"/>
              </w:pBdr>
              <w:rPr>
                <w:sz w:val="20"/>
                <w:szCs w:val="20"/>
              </w:rPr>
            </w:pPr>
            <w:r>
              <w:rPr>
                <w:sz w:val="20"/>
                <w:szCs w:val="20"/>
              </w:rPr>
              <w:t>Practice Experience 4 + 5</w:t>
            </w:r>
          </w:p>
        </w:tc>
        <w:tc>
          <w:tcPr>
            <w:tcW w:w="2250" w:type="dxa"/>
          </w:tcPr>
          <w:p w14:paraId="64BD45B8" w14:textId="77777777" w:rsidR="00DB48FE" w:rsidRDefault="00146379">
            <w:pPr>
              <w:widowControl w:val="0"/>
              <w:pBdr>
                <w:top w:val="nil"/>
                <w:left w:val="nil"/>
                <w:bottom w:val="nil"/>
                <w:right w:val="nil"/>
                <w:between w:val="nil"/>
              </w:pBdr>
              <w:rPr>
                <w:sz w:val="20"/>
                <w:szCs w:val="20"/>
              </w:rPr>
            </w:pPr>
            <w:r>
              <w:rPr>
                <w:sz w:val="20"/>
                <w:szCs w:val="20"/>
              </w:rPr>
              <w:t>PR4</w:t>
            </w:r>
          </w:p>
        </w:tc>
        <w:tc>
          <w:tcPr>
            <w:tcW w:w="2294" w:type="dxa"/>
          </w:tcPr>
          <w:p w14:paraId="4C288BB2" w14:textId="77777777" w:rsidR="00DB48FE" w:rsidRDefault="00146379">
            <w:pPr>
              <w:widowControl w:val="0"/>
              <w:pBdr>
                <w:top w:val="nil"/>
                <w:left w:val="nil"/>
                <w:bottom w:val="nil"/>
                <w:right w:val="nil"/>
                <w:between w:val="nil"/>
              </w:pBdr>
              <w:rPr>
                <w:sz w:val="20"/>
                <w:szCs w:val="20"/>
              </w:rPr>
            </w:pPr>
            <w:r>
              <w:rPr>
                <w:sz w:val="20"/>
                <w:szCs w:val="20"/>
              </w:rPr>
              <w:t>Block 4 + Block 5</w:t>
            </w:r>
          </w:p>
        </w:tc>
      </w:tr>
    </w:tbl>
    <w:p w14:paraId="4469C7D5" w14:textId="77777777" w:rsidR="00DB48FE" w:rsidRDefault="00DB48FE"/>
    <w:p w14:paraId="2923FDF0" w14:textId="77777777" w:rsidR="00DB48FE" w:rsidRDefault="00146379">
      <w:pPr>
        <w:numPr>
          <w:ilvl w:val="0"/>
          <w:numId w:val="3"/>
        </w:numPr>
      </w:pPr>
      <w:r>
        <w:t>All placements between September and December 2022 will have drop-in sessions for the first, middle and final week of placement to discuss any support needed with the CPAF documentation. The dates, times and links will be shared via the coordinator prior to the start of the placement block.</w:t>
      </w:r>
    </w:p>
    <w:p w14:paraId="64D1A592" w14:textId="77777777" w:rsidR="00DB48FE" w:rsidRDefault="00146379">
      <w:pPr>
        <w:numPr>
          <w:ilvl w:val="0"/>
          <w:numId w:val="3"/>
        </w:numPr>
      </w:pPr>
      <w:r>
        <w:t>The CPAF should be saved somewhere only accessible for the educator and student (e.g. google drive or local password protected file or send via email between student and educator)</w:t>
      </w:r>
    </w:p>
    <w:p w14:paraId="59C9B385" w14:textId="77777777" w:rsidR="00DB48FE" w:rsidRDefault="00DB48FE"/>
    <w:p w14:paraId="29F8DB38" w14:textId="77777777" w:rsidR="00DB48FE" w:rsidRDefault="00146379">
      <w:r>
        <w:rPr>
          <w:u w:val="single"/>
        </w:rPr>
        <w:t>Using the Paperwork:</w:t>
      </w:r>
      <w:r>
        <w:t xml:space="preserve"> </w:t>
      </w:r>
    </w:p>
    <w:p w14:paraId="4AFECE62" w14:textId="77777777" w:rsidR="00DB48FE" w:rsidRDefault="00146379">
      <w:pPr>
        <w:numPr>
          <w:ilvl w:val="0"/>
          <w:numId w:val="2"/>
        </w:numPr>
      </w:pPr>
      <w:r>
        <w:t>All professional competencies MUST be passed to pass placement - failure of one (or more) will result in failure of the placement</w:t>
      </w:r>
    </w:p>
    <w:p w14:paraId="2C4053AE" w14:textId="77777777" w:rsidR="00DB48FE" w:rsidRDefault="00146379">
      <w:pPr>
        <w:widowControl w:val="0"/>
        <w:numPr>
          <w:ilvl w:val="0"/>
          <w:numId w:val="2"/>
        </w:numPr>
      </w:pPr>
      <w:r>
        <w:t>All 10 domains MUST be passed to pass placement</w:t>
      </w:r>
    </w:p>
    <w:p w14:paraId="3AD6F807" w14:textId="77777777" w:rsidR="00DB48FE" w:rsidRDefault="00146379">
      <w:pPr>
        <w:widowControl w:val="0"/>
        <w:numPr>
          <w:ilvl w:val="0"/>
          <w:numId w:val="2"/>
        </w:numPr>
      </w:pPr>
      <w:r>
        <w:t xml:space="preserve">You can fail </w:t>
      </w:r>
      <w:r>
        <w:rPr>
          <w:b/>
        </w:rPr>
        <w:t>one</w:t>
      </w:r>
      <w:r>
        <w:t xml:space="preserve"> of the smaller  learning outcomes per domain, but still pass the domain. If two smaller outcomes are failed then the domain is failed and placement cannot be passed</w:t>
      </w:r>
    </w:p>
    <w:p w14:paraId="63F5F8C3" w14:textId="77777777" w:rsidR="00DB48FE" w:rsidRDefault="00146379">
      <w:pPr>
        <w:widowControl w:val="0"/>
        <w:numPr>
          <w:ilvl w:val="0"/>
          <w:numId w:val="2"/>
        </w:numPr>
        <w:spacing w:after="240"/>
      </w:pPr>
      <w:r>
        <w:t>You can only fail 3 smaller learning outcomes across all 10 domains, 4 or more and the placement is failed even if all 10 domains are passed</w:t>
      </w:r>
    </w:p>
    <w:p w14:paraId="6E5530F8" w14:textId="77777777" w:rsidR="00DB48FE" w:rsidRDefault="003A7C74">
      <w:pPr>
        <w:widowControl w:val="0"/>
        <w:spacing w:after="240"/>
        <w:rPr>
          <w:color w:val="595959"/>
        </w:rPr>
      </w:pPr>
      <w:hyperlink r:id="rId6">
        <w:r w:rsidR="00146379">
          <w:rPr>
            <w:color w:val="1C3678"/>
            <w:u w:val="single"/>
          </w:rPr>
          <w:t>https://www.csp.org.uk/system/files/documents/2022-01/001916_cpaf_learning_domains_explained_final_tamsin_baird.pdf</w:t>
        </w:r>
      </w:hyperlink>
    </w:p>
    <w:p w14:paraId="55449C05" w14:textId="77777777" w:rsidR="00DB48FE" w:rsidRDefault="003A7C74">
      <w:pPr>
        <w:widowControl w:val="0"/>
        <w:spacing w:after="240"/>
        <w:rPr>
          <w:sz w:val="18"/>
          <w:szCs w:val="18"/>
        </w:rPr>
      </w:pPr>
      <w:hyperlink r:id="rId7">
        <w:r w:rsidR="00146379">
          <w:rPr>
            <w:color w:val="1C3678"/>
            <w:u w:val="single"/>
          </w:rPr>
          <w:t>https://www.csp.org.uk/system/files/documents/2021-09/001870_cpaf_practice_team_guidance_v2_0.pdf</w:t>
        </w:r>
      </w:hyperlink>
    </w:p>
    <w:p w14:paraId="44224475" w14:textId="77777777" w:rsidR="00DB48FE" w:rsidRDefault="00146379">
      <w:pPr>
        <w:widowControl w:val="0"/>
        <w:spacing w:after="240"/>
        <w:rPr>
          <w:u w:val="single"/>
        </w:rPr>
      </w:pPr>
      <w:r>
        <w:rPr>
          <w:u w:val="single"/>
        </w:rPr>
        <w:t>Useful links to CSP Resources:</w:t>
      </w:r>
    </w:p>
    <w:p w14:paraId="71A911C5" w14:textId="77777777" w:rsidR="00DB48FE" w:rsidRDefault="003A7C74">
      <w:pPr>
        <w:widowControl w:val="0"/>
        <w:spacing w:after="240"/>
      </w:pPr>
      <w:hyperlink r:id="rId8" w:anchor="professional">
        <w:r w:rsidR="00146379">
          <w:rPr>
            <w:color w:val="1C3678"/>
            <w:u w:val="single"/>
          </w:rPr>
          <w:t>https://www.csp.org.uk/professional-clinical/practice-based-learning/cpaf/how-to-videos#professional</w:t>
        </w:r>
      </w:hyperlink>
    </w:p>
    <w:sectPr w:rsidR="00DB48F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1082A"/>
    <w:multiLevelType w:val="multilevel"/>
    <w:tmpl w:val="D4964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2BB0AE7"/>
    <w:multiLevelType w:val="multilevel"/>
    <w:tmpl w:val="D7FA3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B9F0D33"/>
    <w:multiLevelType w:val="multilevel"/>
    <w:tmpl w:val="1E1C65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27855808">
    <w:abstractNumId w:val="1"/>
  </w:num>
  <w:num w:numId="2" w16cid:durableId="1484397166">
    <w:abstractNumId w:val="0"/>
  </w:num>
  <w:num w:numId="3" w16cid:durableId="881403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8FE"/>
    <w:rsid w:val="00146379"/>
    <w:rsid w:val="003A7C74"/>
    <w:rsid w:val="00DB48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6D4B7"/>
  <w15:docId w15:val="{D2DA5EDA-A500-4117-BE49-67D1AFE43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3A7C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sp.org.uk/professional-clinical/practice-based-learning/cpaf/how-to-videos" TargetMode="External"/><Relationship Id="rId3" Type="http://schemas.openxmlformats.org/officeDocument/2006/relationships/settings" Target="settings.xml"/><Relationship Id="rId7" Type="http://schemas.openxmlformats.org/officeDocument/2006/relationships/hyperlink" Target="https://www.csp.org.uk/system/files/documents/2021-09/001870_cpaf_practice_team_guidance_v2_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sp.org.uk/system/files/documents/2022-01/001916_cpaf_learning_domains_explained_final_tamsin_baird.pdf" TargetMode="External"/><Relationship Id="rId5" Type="http://schemas.openxmlformats.org/officeDocument/2006/relationships/hyperlink" Target="https://youtu.be/3X1YENWcGF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374</Words>
  <Characters>2137</Characters>
  <Application>Microsoft Office Word</Application>
  <DocSecurity>4</DocSecurity>
  <Lines>17</Lines>
  <Paragraphs>5</Paragraphs>
  <ScaleCrop>false</ScaleCrop>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Brinkley, Jessica</dc:creator>
  <cp:lastModifiedBy>Redman, Judy H</cp:lastModifiedBy>
  <cp:revision>2</cp:revision>
  <dcterms:created xsi:type="dcterms:W3CDTF">2022-08-15T13:39:00Z</dcterms:created>
  <dcterms:modified xsi:type="dcterms:W3CDTF">2022-08-15T13:39:00Z</dcterms:modified>
</cp:coreProperties>
</file>