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4363" w14:textId="77777777" w:rsidR="006B6127" w:rsidRDefault="0063744A">
      <w:pPr>
        <w:pStyle w:val="BodyText"/>
        <w:ind w:left="114"/>
        <w:rPr>
          <w:rFonts w:ascii="Times New Roman"/>
          <w:sz w:val="20"/>
        </w:rPr>
      </w:pPr>
      <w:r>
        <w:rPr>
          <w:rFonts w:ascii="Times New Roman"/>
          <w:noProof/>
          <w:sz w:val="20"/>
          <w:lang w:bidi="ar-SA"/>
        </w:rPr>
        <w:drawing>
          <wp:inline distT="0" distB="0" distL="0" distR="0" wp14:anchorId="756B3093" wp14:editId="65F2D9F1">
            <wp:extent cx="1538585" cy="829055"/>
            <wp:effectExtent l="0" t="0" r="0" b="0"/>
            <wp:docPr id="1" name="image1.png"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8585" cy="829055"/>
                    </a:xfrm>
                    <a:prstGeom prst="rect">
                      <a:avLst/>
                    </a:prstGeom>
                  </pic:spPr>
                </pic:pic>
              </a:graphicData>
            </a:graphic>
          </wp:inline>
        </w:drawing>
      </w:r>
    </w:p>
    <w:p w14:paraId="1EE616C4" w14:textId="77777777" w:rsidR="006B6127" w:rsidRDefault="006B6127">
      <w:pPr>
        <w:pStyle w:val="BodyText"/>
        <w:spacing w:before="4"/>
        <w:ind w:left="0"/>
        <w:rPr>
          <w:rFonts w:ascii="Times New Roman"/>
          <w:sz w:val="23"/>
        </w:rPr>
      </w:pPr>
    </w:p>
    <w:p w14:paraId="7C0422F5" w14:textId="5819C464" w:rsidR="006B6127" w:rsidRDefault="0063744A">
      <w:pPr>
        <w:spacing w:before="92"/>
        <w:ind w:left="112"/>
        <w:rPr>
          <w:b/>
          <w:sz w:val="27"/>
        </w:rPr>
      </w:pPr>
      <w:r>
        <w:rPr>
          <w:b/>
          <w:sz w:val="27"/>
        </w:rPr>
        <w:t>Department of Social Work, Social Care and Community Studies</w:t>
      </w:r>
    </w:p>
    <w:p w14:paraId="45BE1554" w14:textId="77777777" w:rsidR="006B6127" w:rsidRDefault="006B6127">
      <w:pPr>
        <w:pStyle w:val="BodyText"/>
        <w:spacing w:before="10"/>
        <w:ind w:left="0"/>
        <w:rPr>
          <w:b/>
          <w:sz w:val="23"/>
        </w:rPr>
      </w:pPr>
    </w:p>
    <w:p w14:paraId="284508F7" w14:textId="77777777" w:rsidR="006B6127" w:rsidRDefault="0063744A" w:rsidP="009958AD">
      <w:pPr>
        <w:pStyle w:val="Heading1"/>
      </w:pPr>
      <w:bookmarkStart w:id="0" w:name="Whistle_Blowing_Procedure"/>
      <w:bookmarkEnd w:id="0"/>
      <w:r>
        <w:t>Whistle Blowing Procedure</w:t>
      </w:r>
    </w:p>
    <w:p w14:paraId="7B75B036" w14:textId="77777777" w:rsidR="006B6127" w:rsidRDefault="0063744A">
      <w:pPr>
        <w:pStyle w:val="BodyText"/>
        <w:spacing w:before="227" w:line="300" w:lineRule="auto"/>
        <w:ind w:left="112" w:right="632"/>
        <w:jc w:val="both"/>
      </w:pPr>
      <w:r>
        <w:t>A student undertaking a course within the Department of Social Work, Social Care and Community Studies may need to instigate procedures arising from concerns about the practice or conduct of:</w:t>
      </w:r>
    </w:p>
    <w:p w14:paraId="6CF60891" w14:textId="77777777" w:rsidR="006B6127" w:rsidRDefault="0063744A">
      <w:pPr>
        <w:pStyle w:val="ListParagraph"/>
        <w:numPr>
          <w:ilvl w:val="0"/>
          <w:numId w:val="1"/>
        </w:numPr>
        <w:tabs>
          <w:tab w:val="left" w:pos="470"/>
          <w:tab w:val="left" w:pos="471"/>
        </w:tabs>
        <w:spacing w:before="120"/>
        <w:rPr>
          <w:sz w:val="24"/>
        </w:rPr>
      </w:pPr>
      <w:r>
        <w:rPr>
          <w:sz w:val="24"/>
        </w:rPr>
        <w:t>staff employed by the</w:t>
      </w:r>
      <w:r>
        <w:rPr>
          <w:spacing w:val="-5"/>
          <w:sz w:val="24"/>
        </w:rPr>
        <w:t xml:space="preserve"> </w:t>
      </w:r>
      <w:r>
        <w:rPr>
          <w:sz w:val="24"/>
        </w:rPr>
        <w:t>University</w:t>
      </w:r>
    </w:p>
    <w:p w14:paraId="35B393BE" w14:textId="77777777" w:rsidR="006B6127" w:rsidRDefault="0063744A">
      <w:pPr>
        <w:pStyle w:val="ListParagraph"/>
        <w:numPr>
          <w:ilvl w:val="0"/>
          <w:numId w:val="1"/>
        </w:numPr>
        <w:tabs>
          <w:tab w:val="left" w:pos="470"/>
          <w:tab w:val="left" w:pos="471"/>
        </w:tabs>
        <w:rPr>
          <w:sz w:val="24"/>
        </w:rPr>
      </w:pPr>
      <w:r>
        <w:rPr>
          <w:sz w:val="24"/>
        </w:rPr>
        <w:t>employee of a social work</w:t>
      </w:r>
      <w:r>
        <w:rPr>
          <w:spacing w:val="1"/>
          <w:sz w:val="24"/>
        </w:rPr>
        <w:t xml:space="preserve"> </w:t>
      </w:r>
      <w:r>
        <w:rPr>
          <w:sz w:val="24"/>
        </w:rPr>
        <w:t>agency</w:t>
      </w:r>
    </w:p>
    <w:p w14:paraId="4537BD9C" w14:textId="77777777" w:rsidR="006B6127" w:rsidRDefault="0063744A">
      <w:pPr>
        <w:pStyle w:val="ListParagraph"/>
        <w:numPr>
          <w:ilvl w:val="0"/>
          <w:numId w:val="1"/>
        </w:numPr>
        <w:tabs>
          <w:tab w:val="left" w:pos="470"/>
          <w:tab w:val="left" w:pos="471"/>
        </w:tabs>
        <w:spacing w:before="188"/>
        <w:rPr>
          <w:sz w:val="24"/>
        </w:rPr>
      </w:pPr>
      <w:r>
        <w:rPr>
          <w:sz w:val="24"/>
        </w:rPr>
        <w:t>another</w:t>
      </w:r>
      <w:r>
        <w:rPr>
          <w:spacing w:val="-2"/>
          <w:sz w:val="24"/>
        </w:rPr>
        <w:t xml:space="preserve"> </w:t>
      </w:r>
      <w:r>
        <w:rPr>
          <w:sz w:val="24"/>
        </w:rPr>
        <w:t>student</w:t>
      </w:r>
    </w:p>
    <w:p w14:paraId="0671DE7F" w14:textId="77777777" w:rsidR="006B6127" w:rsidRDefault="006B6127">
      <w:pPr>
        <w:pStyle w:val="BodyText"/>
        <w:spacing w:before="1"/>
        <w:ind w:left="0"/>
        <w:rPr>
          <w:sz w:val="23"/>
        </w:rPr>
      </w:pPr>
    </w:p>
    <w:p w14:paraId="597152ED" w14:textId="77777777" w:rsidR="006B6127" w:rsidRDefault="0063744A" w:rsidP="009958AD">
      <w:pPr>
        <w:pStyle w:val="Heading2"/>
      </w:pPr>
      <w:r>
        <w:t>Policy on "Whistle Blowing"/Public Interest Disclosure</w:t>
      </w:r>
    </w:p>
    <w:p w14:paraId="6B872F0D" w14:textId="77777777" w:rsidR="006B6127" w:rsidRDefault="0063744A">
      <w:pPr>
        <w:spacing w:before="201" w:line="300" w:lineRule="auto"/>
        <w:ind w:left="112" w:right="180"/>
        <w:rPr>
          <w:sz w:val="24"/>
        </w:rPr>
      </w:pPr>
      <w:r>
        <w:rPr>
          <w:sz w:val="24"/>
        </w:rPr>
        <w:t xml:space="preserve">The </w:t>
      </w:r>
      <w:r>
        <w:rPr>
          <w:spacing w:val="-3"/>
          <w:sz w:val="24"/>
        </w:rPr>
        <w:t xml:space="preserve">university </w:t>
      </w:r>
      <w:r>
        <w:rPr>
          <w:sz w:val="24"/>
        </w:rPr>
        <w:t xml:space="preserve">has in place a formal </w:t>
      </w:r>
      <w:r>
        <w:rPr>
          <w:spacing w:val="-3"/>
          <w:sz w:val="24"/>
        </w:rPr>
        <w:t xml:space="preserve">whistle </w:t>
      </w:r>
      <w:r>
        <w:rPr>
          <w:sz w:val="24"/>
        </w:rPr>
        <w:t xml:space="preserve">blowing </w:t>
      </w:r>
      <w:r>
        <w:rPr>
          <w:spacing w:val="-3"/>
          <w:sz w:val="24"/>
        </w:rPr>
        <w:t xml:space="preserve">procedure </w:t>
      </w:r>
      <w:r>
        <w:rPr>
          <w:sz w:val="24"/>
        </w:rPr>
        <w:t xml:space="preserve">for </w:t>
      </w:r>
      <w:r>
        <w:rPr>
          <w:spacing w:val="-3"/>
          <w:sz w:val="24"/>
        </w:rPr>
        <w:t xml:space="preserve">responding </w:t>
      </w:r>
      <w:r>
        <w:rPr>
          <w:sz w:val="24"/>
        </w:rPr>
        <w:t xml:space="preserve">to </w:t>
      </w:r>
      <w:r>
        <w:rPr>
          <w:spacing w:val="-3"/>
          <w:sz w:val="24"/>
        </w:rPr>
        <w:t xml:space="preserve">disclosures </w:t>
      </w:r>
      <w:r>
        <w:rPr>
          <w:sz w:val="24"/>
        </w:rPr>
        <w:t xml:space="preserve">of </w:t>
      </w:r>
      <w:r>
        <w:rPr>
          <w:spacing w:val="-3"/>
          <w:sz w:val="24"/>
        </w:rPr>
        <w:t xml:space="preserve">information which </w:t>
      </w:r>
      <w:r>
        <w:rPr>
          <w:sz w:val="24"/>
        </w:rPr>
        <w:t xml:space="preserve">fall </w:t>
      </w:r>
      <w:r>
        <w:rPr>
          <w:spacing w:val="-3"/>
          <w:sz w:val="24"/>
        </w:rPr>
        <w:t xml:space="preserve">within </w:t>
      </w:r>
      <w:r>
        <w:rPr>
          <w:sz w:val="24"/>
        </w:rPr>
        <w:t xml:space="preserve">the remit of the </w:t>
      </w:r>
      <w:r>
        <w:rPr>
          <w:spacing w:val="-2"/>
          <w:sz w:val="24"/>
        </w:rPr>
        <w:t xml:space="preserve">Public </w:t>
      </w:r>
      <w:r>
        <w:rPr>
          <w:spacing w:val="-3"/>
          <w:sz w:val="24"/>
        </w:rPr>
        <w:t xml:space="preserve">Interest Disclosure </w:t>
      </w:r>
      <w:r>
        <w:rPr>
          <w:sz w:val="24"/>
        </w:rPr>
        <w:t xml:space="preserve">Act 1998. This </w:t>
      </w:r>
      <w:r>
        <w:rPr>
          <w:spacing w:val="-3"/>
          <w:sz w:val="24"/>
        </w:rPr>
        <w:t xml:space="preserve">procedure </w:t>
      </w:r>
      <w:r>
        <w:rPr>
          <w:sz w:val="24"/>
        </w:rPr>
        <w:t xml:space="preserve">is </w:t>
      </w:r>
      <w:r>
        <w:rPr>
          <w:spacing w:val="-3"/>
          <w:sz w:val="24"/>
        </w:rPr>
        <w:t xml:space="preserve">published </w:t>
      </w:r>
      <w:r>
        <w:rPr>
          <w:sz w:val="24"/>
        </w:rPr>
        <w:t xml:space="preserve">on the </w:t>
      </w:r>
      <w:r>
        <w:rPr>
          <w:spacing w:val="-3"/>
          <w:sz w:val="24"/>
        </w:rPr>
        <w:t xml:space="preserve">university </w:t>
      </w:r>
      <w:r>
        <w:rPr>
          <w:sz w:val="24"/>
        </w:rPr>
        <w:t xml:space="preserve">intranet and </w:t>
      </w:r>
      <w:r>
        <w:rPr>
          <w:spacing w:val="-3"/>
          <w:sz w:val="24"/>
        </w:rPr>
        <w:t xml:space="preserve">student portal. </w:t>
      </w:r>
      <w:r>
        <w:rPr>
          <w:sz w:val="24"/>
        </w:rPr>
        <w:t xml:space="preserve">Section </w:t>
      </w:r>
      <w:r>
        <w:rPr>
          <w:i/>
          <w:sz w:val="24"/>
        </w:rPr>
        <w:t xml:space="preserve">2 </w:t>
      </w:r>
      <w:r>
        <w:rPr>
          <w:i/>
          <w:spacing w:val="-3"/>
          <w:sz w:val="24"/>
        </w:rPr>
        <w:t xml:space="preserve">General Principles </w:t>
      </w:r>
      <w:r>
        <w:rPr>
          <w:spacing w:val="-3"/>
          <w:sz w:val="24"/>
        </w:rPr>
        <w:t xml:space="preserve">indicates </w:t>
      </w:r>
      <w:r>
        <w:rPr>
          <w:sz w:val="24"/>
        </w:rPr>
        <w:t xml:space="preserve">that </w:t>
      </w:r>
      <w:r>
        <w:rPr>
          <w:i/>
          <w:sz w:val="24"/>
        </w:rPr>
        <w:t xml:space="preserve">"The </w:t>
      </w:r>
      <w:r>
        <w:rPr>
          <w:i/>
          <w:spacing w:val="-3"/>
          <w:sz w:val="24"/>
        </w:rPr>
        <w:t xml:space="preserve">procedure </w:t>
      </w:r>
      <w:r>
        <w:rPr>
          <w:i/>
          <w:sz w:val="24"/>
        </w:rPr>
        <w:t xml:space="preserve">is </w:t>
      </w:r>
      <w:r>
        <w:rPr>
          <w:i/>
          <w:spacing w:val="-3"/>
          <w:sz w:val="24"/>
        </w:rPr>
        <w:t xml:space="preserve">applicable </w:t>
      </w:r>
      <w:r>
        <w:rPr>
          <w:i/>
          <w:sz w:val="24"/>
        </w:rPr>
        <w:t xml:space="preserve">to all </w:t>
      </w:r>
      <w:r>
        <w:rPr>
          <w:i/>
          <w:spacing w:val="-3"/>
          <w:sz w:val="24"/>
        </w:rPr>
        <w:t xml:space="preserve">employees </w:t>
      </w:r>
      <w:r>
        <w:rPr>
          <w:i/>
          <w:sz w:val="24"/>
        </w:rPr>
        <w:t xml:space="preserve">of the </w:t>
      </w:r>
      <w:r>
        <w:rPr>
          <w:i/>
          <w:spacing w:val="-3"/>
          <w:sz w:val="24"/>
        </w:rPr>
        <w:t xml:space="preserve">university, including </w:t>
      </w:r>
      <w:r>
        <w:rPr>
          <w:i/>
          <w:sz w:val="24"/>
        </w:rPr>
        <w:t xml:space="preserve">agency staff, </w:t>
      </w:r>
      <w:r>
        <w:rPr>
          <w:i/>
          <w:spacing w:val="-3"/>
          <w:sz w:val="24"/>
        </w:rPr>
        <w:t xml:space="preserve">trainees </w:t>
      </w:r>
      <w:r>
        <w:rPr>
          <w:i/>
          <w:sz w:val="24"/>
        </w:rPr>
        <w:t xml:space="preserve">and </w:t>
      </w:r>
      <w:r>
        <w:rPr>
          <w:b/>
          <w:i/>
          <w:spacing w:val="-3"/>
          <w:sz w:val="24"/>
        </w:rPr>
        <w:t xml:space="preserve">students/staff participating </w:t>
      </w:r>
      <w:r>
        <w:rPr>
          <w:b/>
          <w:i/>
          <w:sz w:val="24"/>
        </w:rPr>
        <w:t xml:space="preserve">in </w:t>
      </w:r>
      <w:r>
        <w:rPr>
          <w:b/>
          <w:i/>
          <w:spacing w:val="-3"/>
          <w:sz w:val="24"/>
        </w:rPr>
        <w:t xml:space="preserve">student placements." </w:t>
      </w:r>
      <w:r>
        <w:rPr>
          <w:sz w:val="24"/>
        </w:rPr>
        <w:t xml:space="preserve">The </w:t>
      </w:r>
      <w:r>
        <w:rPr>
          <w:spacing w:val="-3"/>
          <w:sz w:val="24"/>
        </w:rPr>
        <w:t xml:space="preserve">procedure </w:t>
      </w:r>
      <w:r>
        <w:rPr>
          <w:sz w:val="24"/>
        </w:rPr>
        <w:t xml:space="preserve">to follow is set out step by step under Section 7. </w:t>
      </w:r>
      <w:r>
        <w:rPr>
          <w:spacing w:val="-3"/>
          <w:sz w:val="24"/>
        </w:rPr>
        <w:t xml:space="preserve">Advice </w:t>
      </w:r>
      <w:r>
        <w:rPr>
          <w:spacing w:val="-2"/>
          <w:sz w:val="24"/>
        </w:rPr>
        <w:t xml:space="preserve">should </w:t>
      </w:r>
      <w:r>
        <w:rPr>
          <w:sz w:val="24"/>
        </w:rPr>
        <w:t xml:space="preserve">be </w:t>
      </w:r>
      <w:r>
        <w:rPr>
          <w:spacing w:val="-3"/>
          <w:sz w:val="24"/>
        </w:rPr>
        <w:t xml:space="preserve">sought </w:t>
      </w:r>
      <w:r>
        <w:rPr>
          <w:sz w:val="24"/>
        </w:rPr>
        <w:t xml:space="preserve">from </w:t>
      </w:r>
      <w:r>
        <w:rPr>
          <w:spacing w:val="-3"/>
          <w:sz w:val="24"/>
        </w:rPr>
        <w:t xml:space="preserve">the </w:t>
      </w:r>
      <w:r>
        <w:rPr>
          <w:sz w:val="24"/>
        </w:rPr>
        <w:t xml:space="preserve">Human </w:t>
      </w:r>
      <w:r>
        <w:rPr>
          <w:spacing w:val="-3"/>
          <w:sz w:val="24"/>
        </w:rPr>
        <w:t xml:space="preserve">Resources </w:t>
      </w:r>
      <w:r>
        <w:rPr>
          <w:spacing w:val="-2"/>
          <w:sz w:val="24"/>
        </w:rPr>
        <w:t xml:space="preserve">Department </w:t>
      </w:r>
      <w:r>
        <w:rPr>
          <w:spacing w:val="-3"/>
          <w:sz w:val="24"/>
        </w:rPr>
        <w:t xml:space="preserve">with regard </w:t>
      </w:r>
      <w:r>
        <w:rPr>
          <w:sz w:val="24"/>
        </w:rPr>
        <w:t xml:space="preserve">to the </w:t>
      </w:r>
      <w:r>
        <w:rPr>
          <w:spacing w:val="-3"/>
          <w:sz w:val="24"/>
        </w:rPr>
        <w:t xml:space="preserve">implementation </w:t>
      </w:r>
      <w:r>
        <w:rPr>
          <w:sz w:val="24"/>
        </w:rPr>
        <w:t xml:space="preserve">of this </w:t>
      </w:r>
      <w:r>
        <w:rPr>
          <w:spacing w:val="-3"/>
          <w:sz w:val="24"/>
        </w:rPr>
        <w:t xml:space="preserve">procedure. </w:t>
      </w:r>
      <w:r>
        <w:rPr>
          <w:sz w:val="24"/>
        </w:rPr>
        <w:t xml:space="preserve">The </w:t>
      </w:r>
      <w:r>
        <w:rPr>
          <w:spacing w:val="-3"/>
          <w:sz w:val="24"/>
        </w:rPr>
        <w:t xml:space="preserve">procedure </w:t>
      </w:r>
      <w:r>
        <w:rPr>
          <w:sz w:val="24"/>
        </w:rPr>
        <w:t xml:space="preserve">does </w:t>
      </w:r>
      <w:r>
        <w:rPr>
          <w:spacing w:val="-2"/>
          <w:sz w:val="24"/>
        </w:rPr>
        <w:t xml:space="preserve">not </w:t>
      </w:r>
      <w:r>
        <w:rPr>
          <w:sz w:val="24"/>
        </w:rPr>
        <w:t xml:space="preserve">affect </w:t>
      </w:r>
      <w:r>
        <w:rPr>
          <w:spacing w:val="-3"/>
          <w:sz w:val="24"/>
        </w:rPr>
        <w:t xml:space="preserve">existing procedures </w:t>
      </w:r>
      <w:r>
        <w:rPr>
          <w:sz w:val="24"/>
        </w:rPr>
        <w:t xml:space="preserve">for the </w:t>
      </w:r>
      <w:r>
        <w:rPr>
          <w:spacing w:val="-3"/>
          <w:sz w:val="24"/>
        </w:rPr>
        <w:t xml:space="preserve">handling </w:t>
      </w:r>
      <w:r>
        <w:rPr>
          <w:sz w:val="24"/>
        </w:rPr>
        <w:t xml:space="preserve">of formal complaints or </w:t>
      </w:r>
      <w:r>
        <w:rPr>
          <w:spacing w:val="-3"/>
          <w:sz w:val="24"/>
        </w:rPr>
        <w:t>grievances.</w:t>
      </w:r>
    </w:p>
    <w:p w14:paraId="3C250793" w14:textId="77777777" w:rsidR="006B6127" w:rsidRDefault="0063744A" w:rsidP="009958AD">
      <w:pPr>
        <w:pStyle w:val="Heading2"/>
      </w:pPr>
      <w:r>
        <w:t>Concerns about staff employed by the University</w:t>
      </w:r>
    </w:p>
    <w:p w14:paraId="73A063FF" w14:textId="77777777" w:rsidR="006B6127" w:rsidRDefault="0063744A">
      <w:pPr>
        <w:pStyle w:val="BodyText"/>
        <w:spacing w:before="200" w:line="300" w:lineRule="auto"/>
        <w:ind w:left="112" w:right="351"/>
      </w:pPr>
      <w:r>
        <w:t>The University has in place both informal and formal procedures for responding to complaints about the conduct of members of staff. Details of procedures are to be found on the University Intranet and the student portal. Formal procedures allow for complaints relating to staff/student relationships, including harassment or inconsistent treatment of students. Students wishing to make a complaint about the professional conduct of a University employee should do so using the Student Complaint Procedures.</w:t>
      </w:r>
    </w:p>
    <w:p w14:paraId="6B29266B" w14:textId="20ACC4B8" w:rsidR="006B6127" w:rsidRDefault="0063744A">
      <w:pPr>
        <w:pStyle w:val="BodyText"/>
        <w:spacing w:before="119"/>
        <w:ind w:left="112"/>
      </w:pPr>
      <w:r>
        <w:t xml:space="preserve">Reference can also be made to the following University </w:t>
      </w:r>
      <w:r w:rsidR="00241892">
        <w:t>guidance, which can be accessed via the following the html link below or by scanning the QRS code</w:t>
      </w:r>
      <w:r>
        <w:t>:</w:t>
      </w:r>
    </w:p>
    <w:p w14:paraId="24B3CF95" w14:textId="55623CDE" w:rsidR="006B6127" w:rsidRDefault="00241892">
      <w:pPr>
        <w:pStyle w:val="BodyText"/>
        <w:spacing w:before="11"/>
        <w:ind w:left="0"/>
        <w:rPr>
          <w:sz w:val="26"/>
        </w:rPr>
      </w:pPr>
      <w:r>
        <w:rPr>
          <w:noProof/>
          <w:lang w:bidi="ar-SA"/>
        </w:rPr>
        <w:drawing>
          <wp:inline distT="0" distB="0" distL="0" distR="0" wp14:anchorId="4ABD26DF" wp14:editId="44D8FEDD">
            <wp:extent cx="800254" cy="800252"/>
            <wp:effectExtent l="0" t="0" r="0" b="0"/>
            <wp:docPr id="3" name="image2.png" descr="QR Code - can be scanned to access university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254" cy="800252"/>
                    </a:xfrm>
                    <a:prstGeom prst="rect">
                      <a:avLst/>
                    </a:prstGeom>
                  </pic:spPr>
                </pic:pic>
              </a:graphicData>
            </a:graphic>
          </wp:inline>
        </w:drawing>
      </w:r>
    </w:p>
    <w:p w14:paraId="212F5295" w14:textId="6CF9DAD1" w:rsidR="006B6127" w:rsidRDefault="009958AD">
      <w:pPr>
        <w:pStyle w:val="Heading2"/>
        <w:numPr>
          <w:ilvl w:val="0"/>
          <w:numId w:val="1"/>
        </w:numPr>
        <w:tabs>
          <w:tab w:val="left" w:pos="470"/>
          <w:tab w:val="left" w:pos="471"/>
        </w:tabs>
      </w:pPr>
      <w:hyperlink r:id="rId9" w:history="1">
        <w:r w:rsidR="0063744A" w:rsidRPr="00241892">
          <w:rPr>
            <w:rStyle w:val="Hyperlink"/>
          </w:rPr>
          <w:t>Student Anti- Harassment Policy and Support for</w:t>
        </w:r>
        <w:r w:rsidR="0063744A" w:rsidRPr="00241892">
          <w:rPr>
            <w:rStyle w:val="Hyperlink"/>
            <w:spacing w:val="-11"/>
          </w:rPr>
          <w:t xml:space="preserve"> </w:t>
        </w:r>
        <w:r w:rsidR="0063744A" w:rsidRPr="00241892">
          <w:rPr>
            <w:rStyle w:val="Hyperlink"/>
          </w:rPr>
          <w:t>Students</w:t>
        </w:r>
      </w:hyperlink>
    </w:p>
    <w:p w14:paraId="2F7FF499" w14:textId="77777777" w:rsidR="006B6127" w:rsidRDefault="006B6127">
      <w:pPr>
        <w:pStyle w:val="BodyText"/>
        <w:ind w:left="0"/>
        <w:rPr>
          <w:b/>
          <w:sz w:val="28"/>
        </w:rPr>
      </w:pPr>
    </w:p>
    <w:p w14:paraId="5AD75C95" w14:textId="77777777" w:rsidR="006B6127" w:rsidRDefault="006B6127">
      <w:pPr>
        <w:pStyle w:val="BodyText"/>
        <w:spacing w:before="1"/>
        <w:ind w:left="0"/>
        <w:rPr>
          <w:b/>
          <w:sz w:val="30"/>
        </w:rPr>
      </w:pPr>
    </w:p>
    <w:p w14:paraId="754CAC8F" w14:textId="77777777" w:rsidR="006B6127" w:rsidRDefault="006B6127">
      <w:pPr>
        <w:rPr>
          <w:sz w:val="24"/>
        </w:rPr>
        <w:sectPr w:rsidR="006B6127">
          <w:footerReference w:type="default" r:id="rId10"/>
          <w:type w:val="continuous"/>
          <w:pgSz w:w="11910" w:h="16840"/>
          <w:pgMar w:top="1040" w:right="960" w:bottom="700" w:left="1020" w:header="720" w:footer="517" w:gutter="0"/>
          <w:pgNumType w:start="1"/>
          <w:cols w:space="720"/>
        </w:sectPr>
      </w:pPr>
    </w:p>
    <w:p w14:paraId="1984E2D0" w14:textId="77777777" w:rsidR="006B6127" w:rsidRDefault="0063744A" w:rsidP="009958AD">
      <w:pPr>
        <w:pStyle w:val="Heading2"/>
      </w:pPr>
      <w:r>
        <w:lastRenderedPageBreak/>
        <w:t>Concerns about practice in a social work agency</w:t>
      </w:r>
    </w:p>
    <w:p w14:paraId="19FDF897" w14:textId="77777777" w:rsidR="006B6127" w:rsidRDefault="0063744A">
      <w:pPr>
        <w:pStyle w:val="BodyText"/>
        <w:spacing w:before="203" w:line="300" w:lineRule="auto"/>
        <w:ind w:left="112"/>
      </w:pPr>
      <w:r>
        <w:t>Social work agencies are required to have in place Whistle Blowing procedures. Students undertaking practice learning within any agency are required to follow the Whistle Blowing procedures of that agency. However, the University will support any student involved in an agency's Whistle Blowing procedure and will negotiate with the student and agency an appropriate form of support.</w:t>
      </w:r>
    </w:p>
    <w:p w14:paraId="3F368715" w14:textId="77777777" w:rsidR="006B6127" w:rsidRDefault="0063744A" w:rsidP="009958AD">
      <w:pPr>
        <w:pStyle w:val="Heading2"/>
      </w:pPr>
      <w:r>
        <w:t>Concerns about the conduct of another student or students</w:t>
      </w:r>
    </w:p>
    <w:p w14:paraId="29E8FC62" w14:textId="026B39FF" w:rsidR="006B6127" w:rsidRDefault="0063744A">
      <w:pPr>
        <w:pStyle w:val="BodyText"/>
        <w:spacing w:before="201" w:line="300" w:lineRule="auto"/>
        <w:ind w:left="112" w:right="509"/>
        <w:jc w:val="both"/>
      </w:pPr>
      <w:r>
        <w:t xml:space="preserve">Concerns about the conduct of another student may be raised initially with the </w:t>
      </w:r>
      <w:r w:rsidR="00241892">
        <w:t>Academic Advisor or Student Support Advisor</w:t>
      </w:r>
      <w:r>
        <w:t>. The student may, however, choose to raise concerns with another member of the University.</w:t>
      </w:r>
    </w:p>
    <w:p w14:paraId="6A270794" w14:textId="77777777" w:rsidR="006B6127" w:rsidRDefault="0063744A">
      <w:pPr>
        <w:pStyle w:val="BodyText"/>
        <w:spacing w:before="203" w:line="300" w:lineRule="auto"/>
        <w:ind w:left="112" w:right="351"/>
      </w:pPr>
      <w:r>
        <w:t>The following University procedures may be applicable to any of the above areas of concern and students should seek guidance regarding the most appropriate procedure to raise their concern:</w:t>
      </w:r>
    </w:p>
    <w:p w14:paraId="765A99A5" w14:textId="14F433A7" w:rsidR="006B6127" w:rsidRDefault="009958AD">
      <w:pPr>
        <w:pStyle w:val="ListParagraph"/>
        <w:numPr>
          <w:ilvl w:val="0"/>
          <w:numId w:val="1"/>
        </w:numPr>
        <w:tabs>
          <w:tab w:val="left" w:pos="470"/>
          <w:tab w:val="left" w:pos="471"/>
        </w:tabs>
        <w:spacing w:before="118"/>
        <w:rPr>
          <w:sz w:val="24"/>
        </w:rPr>
      </w:pPr>
      <w:hyperlink r:id="rId11" w:history="1">
        <w:r w:rsidR="0063744A" w:rsidRPr="00E47D7A">
          <w:rPr>
            <w:rStyle w:val="Hyperlink"/>
            <w:sz w:val="24"/>
          </w:rPr>
          <w:t xml:space="preserve">University </w:t>
        </w:r>
        <w:r w:rsidR="00E47D7A" w:rsidRPr="00E47D7A">
          <w:rPr>
            <w:rStyle w:val="Hyperlink"/>
            <w:sz w:val="24"/>
          </w:rPr>
          <w:t>Public Interest Disclosure Policy</w:t>
        </w:r>
      </w:hyperlink>
    </w:p>
    <w:p w14:paraId="0CC549D4" w14:textId="7C695A16" w:rsidR="006B6127" w:rsidRDefault="009958AD">
      <w:pPr>
        <w:pStyle w:val="ListParagraph"/>
        <w:numPr>
          <w:ilvl w:val="0"/>
          <w:numId w:val="1"/>
        </w:numPr>
        <w:tabs>
          <w:tab w:val="left" w:pos="470"/>
          <w:tab w:val="left" w:pos="471"/>
        </w:tabs>
        <w:spacing w:before="188"/>
        <w:rPr>
          <w:sz w:val="24"/>
        </w:rPr>
      </w:pPr>
      <w:hyperlink r:id="rId12" w:history="1">
        <w:r w:rsidR="0063744A" w:rsidRPr="000F281E">
          <w:rPr>
            <w:rStyle w:val="Hyperlink"/>
            <w:sz w:val="24"/>
          </w:rPr>
          <w:t>University Complaints</w:t>
        </w:r>
        <w:r w:rsidR="0063744A" w:rsidRPr="000F281E">
          <w:rPr>
            <w:rStyle w:val="Hyperlink"/>
            <w:spacing w:val="-5"/>
            <w:sz w:val="24"/>
          </w:rPr>
          <w:t xml:space="preserve"> </w:t>
        </w:r>
        <w:r w:rsidR="0063744A" w:rsidRPr="000F281E">
          <w:rPr>
            <w:rStyle w:val="Hyperlink"/>
            <w:sz w:val="24"/>
          </w:rPr>
          <w:t>Procedure</w:t>
        </w:r>
      </w:hyperlink>
    </w:p>
    <w:p w14:paraId="3841A3B0" w14:textId="65E07ED0" w:rsidR="006B6127" w:rsidRDefault="009958AD">
      <w:pPr>
        <w:pStyle w:val="ListParagraph"/>
        <w:numPr>
          <w:ilvl w:val="0"/>
          <w:numId w:val="1"/>
        </w:numPr>
        <w:tabs>
          <w:tab w:val="left" w:pos="470"/>
          <w:tab w:val="left" w:pos="471"/>
        </w:tabs>
        <w:spacing w:before="189"/>
        <w:rPr>
          <w:sz w:val="24"/>
        </w:rPr>
      </w:pPr>
      <w:hyperlink r:id="rId13" w:history="1">
        <w:r w:rsidR="0063744A" w:rsidRPr="00E47D7A">
          <w:rPr>
            <w:rStyle w:val="Hyperlink"/>
            <w:sz w:val="24"/>
          </w:rPr>
          <w:t xml:space="preserve">University </w:t>
        </w:r>
        <w:r w:rsidR="00E47D7A">
          <w:rPr>
            <w:rStyle w:val="Hyperlink"/>
            <w:sz w:val="24"/>
          </w:rPr>
          <w:t>Student Anti-</w:t>
        </w:r>
        <w:r w:rsidR="0063744A" w:rsidRPr="00E47D7A">
          <w:rPr>
            <w:rStyle w:val="Hyperlink"/>
            <w:sz w:val="24"/>
          </w:rPr>
          <w:t>Harassment</w:t>
        </w:r>
        <w:r w:rsidR="0063744A" w:rsidRPr="00E47D7A">
          <w:rPr>
            <w:rStyle w:val="Hyperlink"/>
            <w:spacing w:val="-2"/>
            <w:sz w:val="24"/>
          </w:rPr>
          <w:t xml:space="preserve"> </w:t>
        </w:r>
        <w:r w:rsidR="00E47D7A">
          <w:rPr>
            <w:rStyle w:val="Hyperlink"/>
            <w:spacing w:val="-2"/>
            <w:sz w:val="24"/>
          </w:rPr>
          <w:t xml:space="preserve">Policy and </w:t>
        </w:r>
        <w:r w:rsidR="0063744A" w:rsidRPr="00E47D7A">
          <w:rPr>
            <w:rStyle w:val="Hyperlink"/>
            <w:sz w:val="24"/>
          </w:rPr>
          <w:t>Procedure</w:t>
        </w:r>
      </w:hyperlink>
    </w:p>
    <w:p w14:paraId="08C613B6" w14:textId="77777777" w:rsidR="006B6127" w:rsidRDefault="006B6127">
      <w:pPr>
        <w:pStyle w:val="BodyText"/>
        <w:spacing w:before="7"/>
        <w:ind w:left="0"/>
        <w:rPr>
          <w:sz w:val="23"/>
        </w:rPr>
      </w:pPr>
    </w:p>
    <w:p w14:paraId="31EED7E7" w14:textId="77777777" w:rsidR="006B6127" w:rsidRDefault="0063744A">
      <w:pPr>
        <w:pStyle w:val="BodyText"/>
        <w:spacing w:line="297" w:lineRule="auto"/>
        <w:ind w:left="112" w:right="406"/>
      </w:pPr>
      <w:r>
        <w:t>The following support systems are available to any student involved in a Whistle Blowing incident:</w:t>
      </w:r>
    </w:p>
    <w:p w14:paraId="32DD87E5" w14:textId="29FD80FD" w:rsidR="006B6127" w:rsidRDefault="00241892">
      <w:pPr>
        <w:pStyle w:val="ListParagraph"/>
        <w:numPr>
          <w:ilvl w:val="0"/>
          <w:numId w:val="1"/>
        </w:numPr>
        <w:tabs>
          <w:tab w:val="left" w:pos="470"/>
          <w:tab w:val="left" w:pos="471"/>
        </w:tabs>
        <w:spacing w:before="125"/>
        <w:rPr>
          <w:sz w:val="24"/>
        </w:rPr>
      </w:pPr>
      <w:r>
        <w:rPr>
          <w:sz w:val="24"/>
        </w:rPr>
        <w:t>Academic Advisor</w:t>
      </w:r>
    </w:p>
    <w:p w14:paraId="0E5248E2" w14:textId="0F0E3E7B" w:rsidR="000F281E" w:rsidRDefault="009958AD" w:rsidP="000F281E">
      <w:pPr>
        <w:pStyle w:val="ListParagraph"/>
        <w:numPr>
          <w:ilvl w:val="0"/>
          <w:numId w:val="1"/>
        </w:numPr>
        <w:tabs>
          <w:tab w:val="left" w:pos="470"/>
          <w:tab w:val="left" w:pos="471"/>
        </w:tabs>
        <w:spacing w:before="125"/>
        <w:rPr>
          <w:sz w:val="24"/>
        </w:rPr>
      </w:pPr>
      <w:hyperlink r:id="rId14" w:history="1">
        <w:r w:rsidR="000500B5" w:rsidRPr="000500B5">
          <w:rPr>
            <w:rStyle w:val="Hyperlink"/>
            <w:sz w:val="24"/>
          </w:rPr>
          <w:t>Hallam Help</w:t>
        </w:r>
      </w:hyperlink>
      <w:r w:rsidR="000500B5" w:rsidRPr="000500B5">
        <w:rPr>
          <w:sz w:val="24"/>
        </w:rPr>
        <w:t xml:space="preserve">  </w:t>
      </w:r>
    </w:p>
    <w:p w14:paraId="307FBEA4" w14:textId="4FD7B453" w:rsidR="000F281E" w:rsidRPr="000F281E" w:rsidRDefault="009958AD" w:rsidP="000F281E">
      <w:pPr>
        <w:pStyle w:val="ListParagraph"/>
        <w:numPr>
          <w:ilvl w:val="0"/>
          <w:numId w:val="1"/>
        </w:numPr>
        <w:tabs>
          <w:tab w:val="left" w:pos="470"/>
          <w:tab w:val="left" w:pos="471"/>
        </w:tabs>
        <w:spacing w:before="125"/>
        <w:rPr>
          <w:sz w:val="24"/>
        </w:rPr>
      </w:pPr>
      <w:hyperlink r:id="rId15" w:history="1">
        <w:r w:rsidR="000F281E" w:rsidRPr="000F281E">
          <w:rPr>
            <w:rStyle w:val="Hyperlink"/>
            <w:sz w:val="24"/>
          </w:rPr>
          <w:t>Student Wellbeing</w:t>
        </w:r>
      </w:hyperlink>
    </w:p>
    <w:p w14:paraId="77B320E6" w14:textId="695B97CD" w:rsidR="006B6127" w:rsidRPr="000500B5" w:rsidRDefault="009958AD" w:rsidP="000500B5">
      <w:pPr>
        <w:pStyle w:val="ListParagraph"/>
        <w:numPr>
          <w:ilvl w:val="0"/>
          <w:numId w:val="1"/>
        </w:numPr>
        <w:tabs>
          <w:tab w:val="left" w:pos="470"/>
          <w:tab w:val="left" w:pos="471"/>
        </w:tabs>
        <w:spacing w:before="125"/>
        <w:rPr>
          <w:sz w:val="24"/>
        </w:rPr>
      </w:pPr>
      <w:hyperlink r:id="rId16" w:history="1">
        <w:r w:rsidR="000F281E" w:rsidRPr="000F281E">
          <w:rPr>
            <w:rStyle w:val="Hyperlink"/>
            <w:sz w:val="24"/>
          </w:rPr>
          <w:t>Student</w:t>
        </w:r>
        <w:r w:rsidR="0063744A" w:rsidRPr="000F281E">
          <w:rPr>
            <w:rStyle w:val="Hyperlink"/>
            <w:sz w:val="24"/>
          </w:rPr>
          <w:t xml:space="preserve"> Health</w:t>
        </w:r>
        <w:r w:rsidR="0063744A" w:rsidRPr="000F281E">
          <w:rPr>
            <w:rStyle w:val="Hyperlink"/>
            <w:spacing w:val="-4"/>
            <w:sz w:val="24"/>
          </w:rPr>
          <w:t xml:space="preserve"> </w:t>
        </w:r>
        <w:r w:rsidR="0063744A" w:rsidRPr="000F281E">
          <w:rPr>
            <w:rStyle w:val="Hyperlink"/>
            <w:sz w:val="24"/>
          </w:rPr>
          <w:t>Services</w:t>
        </w:r>
      </w:hyperlink>
      <w:r w:rsidR="000500B5" w:rsidRPr="000500B5">
        <w:rPr>
          <w:sz w:val="24"/>
        </w:rPr>
        <w:t xml:space="preserve"> </w:t>
      </w:r>
    </w:p>
    <w:p w14:paraId="1ED53BFE" w14:textId="2A0A0364" w:rsidR="006B6127" w:rsidRDefault="009958AD">
      <w:pPr>
        <w:pStyle w:val="ListParagraph"/>
        <w:numPr>
          <w:ilvl w:val="0"/>
          <w:numId w:val="1"/>
        </w:numPr>
        <w:tabs>
          <w:tab w:val="left" w:pos="470"/>
          <w:tab w:val="left" w:pos="471"/>
        </w:tabs>
        <w:rPr>
          <w:sz w:val="24"/>
        </w:rPr>
      </w:pPr>
      <w:hyperlink r:id="rId17" w:history="1">
        <w:r w:rsidR="0063744A" w:rsidRPr="000F281E">
          <w:rPr>
            <w:rStyle w:val="Hyperlink"/>
            <w:sz w:val="24"/>
          </w:rPr>
          <w:t>Student Union Advice Centre</w:t>
        </w:r>
      </w:hyperlink>
    </w:p>
    <w:sectPr w:rsidR="006B6127">
      <w:pgSz w:w="11910" w:h="16840"/>
      <w:pgMar w:top="960" w:right="960" w:bottom="700" w:left="1020" w:header="0"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55D6" w14:textId="77777777" w:rsidR="007F6FF7" w:rsidRDefault="007F6FF7">
      <w:r>
        <w:separator/>
      </w:r>
    </w:p>
  </w:endnote>
  <w:endnote w:type="continuationSeparator" w:id="0">
    <w:p w14:paraId="02EAF82E" w14:textId="77777777" w:rsidR="007F6FF7" w:rsidRDefault="007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17BF" w14:textId="74C750D0" w:rsidR="006B6127" w:rsidRDefault="005804C4">
    <w:pPr>
      <w:pStyle w:val="BodyText"/>
      <w:spacing w:line="14" w:lineRule="auto"/>
      <w:ind w:left="0"/>
      <w:rPr>
        <w:sz w:val="20"/>
      </w:rPr>
    </w:pPr>
    <w:r>
      <w:rPr>
        <w:noProof/>
      </w:rPr>
      <mc:AlternateContent>
        <mc:Choice Requires="wps">
          <w:drawing>
            <wp:inline distT="0" distB="0" distL="0" distR="0" wp14:anchorId="54059EDE" wp14:editId="67960B28">
              <wp:extent cx="1212850" cy="264160"/>
              <wp:effectExtent l="0" t="0" r="635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FC6D" w14:textId="60849C50" w:rsidR="006B6127" w:rsidRDefault="0063744A">
                          <w:pPr>
                            <w:spacing w:before="20"/>
                            <w:ind w:left="20"/>
                            <w:rPr>
                              <w:rFonts w:ascii="Cambria"/>
                              <w:sz w:val="16"/>
                            </w:rPr>
                          </w:pPr>
                          <w:r>
                            <w:rPr>
                              <w:rFonts w:ascii="Cambria"/>
                              <w:sz w:val="16"/>
                            </w:rPr>
                            <w:t xml:space="preserve">Whistle Blowing Procedure Version: </w:t>
                          </w:r>
                          <w:r w:rsidR="00241892">
                            <w:rPr>
                              <w:rFonts w:ascii="Cambria"/>
                              <w:sz w:val="16"/>
                            </w:rPr>
                            <w:t>Sept 2020</w:t>
                          </w:r>
                        </w:p>
                      </w:txbxContent>
                    </wps:txbx>
                    <wps:bodyPr rot="0" vert="horz" wrap="square" lIns="0" tIns="0" rIns="0" bIns="0" anchor="t" anchorCtr="0" upright="1">
                      <a:noAutofit/>
                    </wps:bodyPr>
                  </wps:wsp>
                </a:graphicData>
              </a:graphic>
            </wp:inline>
          </w:drawing>
        </mc:Choice>
        <mc:Fallback>
          <w:pict>
            <v:shapetype w14:anchorId="54059EDE" id="_x0000_t202" coordsize="21600,21600" o:spt="202" path="m,l,21600r21600,l21600,xe">
              <v:stroke joinstyle="miter"/>
              <v:path gradientshapeok="t" o:connecttype="rect"/>
            </v:shapetype>
            <v:shape id="Text Box 2" o:spid="_x0000_s1026" type="#_x0000_t202" style="width:95.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" filled="f" stroked="f">
              <v:textbox inset="0,0,0,0">
                <w:txbxContent>
                  <w:p w14:paraId="53CAFC6D" w14:textId="60849C50" w:rsidR="006B6127" w:rsidRDefault="0063744A">
                    <w:pPr>
                      <w:spacing w:before="20"/>
                      <w:ind w:left="20"/>
                      <w:rPr>
                        <w:rFonts w:ascii="Cambria"/>
                        <w:sz w:val="16"/>
                      </w:rPr>
                    </w:pPr>
                    <w:r>
                      <w:rPr>
                        <w:rFonts w:ascii="Cambria"/>
                        <w:sz w:val="16"/>
                      </w:rPr>
                      <w:t xml:space="preserve">Whistle Blowing Procedure Version: </w:t>
                    </w:r>
                    <w:r w:rsidR="00241892">
                      <w:rPr>
                        <w:rFonts w:ascii="Cambria"/>
                        <w:sz w:val="16"/>
                      </w:rPr>
                      <w:t>Sept 2020</w:t>
                    </w:r>
                  </w:p>
                </w:txbxContent>
              </v:textbox>
              <w10:anchorlock/>
            </v:shape>
          </w:pict>
        </mc:Fallback>
      </mc:AlternateContent>
    </w:r>
    <w:r>
      <w:rPr>
        <w:noProof/>
      </w:rPr>
      <mc:AlternateContent>
        <mc:Choice Requires="wps">
          <w:drawing>
            <wp:inline distT="0" distB="0" distL="0" distR="0" wp14:anchorId="76AC872F" wp14:editId="399E3ED7">
              <wp:extent cx="1996440" cy="264160"/>
              <wp:effectExtent l="0" t="0" r="3810" b="2540"/>
              <wp:docPr id="2" name="Text Box 1" descr="Copyright statement and page numb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8114" w14:textId="7C61C333" w:rsidR="006B6127" w:rsidRDefault="0063744A">
                          <w:pPr>
                            <w:spacing w:before="20" w:line="187" w:lineRule="exact"/>
                            <w:ind w:right="18"/>
                            <w:jc w:val="right"/>
                            <w:rPr>
                              <w:rFonts w:ascii="Cambria" w:hAnsi="Cambria"/>
                              <w:sz w:val="16"/>
                            </w:rPr>
                          </w:pPr>
                          <w:r>
                            <w:rPr>
                              <w:rFonts w:ascii="Cambria" w:hAnsi="Cambria"/>
                              <w:sz w:val="16"/>
                            </w:rPr>
                            <w:t>©Copyright Sheffield Hallam University</w:t>
                          </w:r>
                        </w:p>
                        <w:p w14:paraId="3DC5E0D0" w14:textId="77777777" w:rsidR="006B6127" w:rsidRDefault="0063744A">
                          <w:pPr>
                            <w:ind w:right="18"/>
                            <w:jc w:val="right"/>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267716">
                            <w:rPr>
                              <w:rFonts w:ascii="Cambria"/>
                              <w:noProof/>
                              <w:sz w:val="16"/>
                            </w:rPr>
                            <w:t>2</w:t>
                          </w:r>
                          <w:r>
                            <w:fldChar w:fldCharType="end"/>
                          </w:r>
                          <w:r>
                            <w:rPr>
                              <w:rFonts w:ascii="Cambria"/>
                              <w:sz w:val="16"/>
                            </w:rPr>
                            <w:t xml:space="preserve"> of 2</w:t>
                          </w:r>
                        </w:p>
                      </w:txbxContent>
                    </wps:txbx>
                    <wps:bodyPr rot="0" vert="horz" wrap="square" lIns="0" tIns="0" rIns="0" bIns="0" anchor="t" anchorCtr="0" upright="1">
                      <a:noAutofit/>
                    </wps:bodyPr>
                  </wps:wsp>
                </a:graphicData>
              </a:graphic>
            </wp:inline>
          </w:drawing>
        </mc:Choice>
        <mc:Fallback>
          <w:pict>
            <v:shape w14:anchorId="76AC872F" id="Text Box 1" o:spid="_x0000_s1027" type="#_x0000_t202" alt="Copyright statement and page number&#10;" style="width:157.2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" filled="f" stroked="f">
              <v:textbox inset="0,0,0,0">
                <w:txbxContent>
                  <w:p w14:paraId="74D58114" w14:textId="7C61C333" w:rsidR="006B6127" w:rsidRDefault="0063744A">
                    <w:pPr>
                      <w:spacing w:before="20" w:line="187" w:lineRule="exact"/>
                      <w:ind w:right="18"/>
                      <w:jc w:val="right"/>
                      <w:rPr>
                        <w:rFonts w:ascii="Cambria" w:hAnsi="Cambria"/>
                        <w:sz w:val="16"/>
                      </w:rPr>
                    </w:pPr>
                    <w:r>
                      <w:rPr>
                        <w:rFonts w:ascii="Cambria" w:hAnsi="Cambria"/>
                        <w:sz w:val="16"/>
                      </w:rPr>
                      <w:t>©Copyright Sheffield Hallam University</w:t>
                    </w:r>
                  </w:p>
                  <w:p w14:paraId="3DC5E0D0" w14:textId="77777777" w:rsidR="006B6127" w:rsidRDefault="0063744A">
                    <w:pPr>
                      <w:ind w:right="18"/>
                      <w:jc w:val="right"/>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267716">
                      <w:rPr>
                        <w:rFonts w:ascii="Cambria"/>
                        <w:noProof/>
                        <w:sz w:val="16"/>
                      </w:rPr>
                      <w:t>2</w:t>
                    </w:r>
                    <w:r>
                      <w:fldChar w:fldCharType="end"/>
                    </w:r>
                    <w:r>
                      <w:rPr>
                        <w:rFonts w:ascii="Cambria"/>
                        <w:sz w:val="16"/>
                      </w:rPr>
                      <w:t xml:space="preserve"> of 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63B8" w14:textId="77777777" w:rsidR="007F6FF7" w:rsidRDefault="007F6FF7">
      <w:r>
        <w:separator/>
      </w:r>
    </w:p>
  </w:footnote>
  <w:footnote w:type="continuationSeparator" w:id="0">
    <w:p w14:paraId="74A8E106" w14:textId="77777777" w:rsidR="007F6FF7" w:rsidRDefault="007F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090"/>
    <w:multiLevelType w:val="hybridMultilevel"/>
    <w:tmpl w:val="99CA7AAE"/>
    <w:lvl w:ilvl="0" w:tplc="C75EF43E">
      <w:numFmt w:val="bullet"/>
      <w:lvlText w:val=""/>
      <w:lvlJc w:val="left"/>
      <w:pPr>
        <w:ind w:left="470" w:hanging="358"/>
      </w:pPr>
      <w:rPr>
        <w:rFonts w:ascii="Symbol" w:eastAsia="Symbol" w:hAnsi="Symbol" w:cs="Symbol" w:hint="default"/>
        <w:w w:val="100"/>
        <w:sz w:val="24"/>
        <w:szCs w:val="24"/>
        <w:lang w:val="en-GB" w:eastAsia="en-GB" w:bidi="en-GB"/>
      </w:rPr>
    </w:lvl>
    <w:lvl w:ilvl="1" w:tplc="7B90DA0E">
      <w:numFmt w:val="bullet"/>
      <w:lvlText w:val="•"/>
      <w:lvlJc w:val="left"/>
      <w:pPr>
        <w:ind w:left="1424" w:hanging="358"/>
      </w:pPr>
      <w:rPr>
        <w:rFonts w:hint="default"/>
        <w:lang w:val="en-GB" w:eastAsia="en-GB" w:bidi="en-GB"/>
      </w:rPr>
    </w:lvl>
    <w:lvl w:ilvl="2" w:tplc="0C4ADC80">
      <w:numFmt w:val="bullet"/>
      <w:lvlText w:val="•"/>
      <w:lvlJc w:val="left"/>
      <w:pPr>
        <w:ind w:left="2369" w:hanging="358"/>
      </w:pPr>
      <w:rPr>
        <w:rFonts w:hint="default"/>
        <w:lang w:val="en-GB" w:eastAsia="en-GB" w:bidi="en-GB"/>
      </w:rPr>
    </w:lvl>
    <w:lvl w:ilvl="3" w:tplc="C2501418">
      <w:numFmt w:val="bullet"/>
      <w:lvlText w:val="•"/>
      <w:lvlJc w:val="left"/>
      <w:pPr>
        <w:ind w:left="3313" w:hanging="358"/>
      </w:pPr>
      <w:rPr>
        <w:rFonts w:hint="default"/>
        <w:lang w:val="en-GB" w:eastAsia="en-GB" w:bidi="en-GB"/>
      </w:rPr>
    </w:lvl>
    <w:lvl w:ilvl="4" w:tplc="3DDED616">
      <w:numFmt w:val="bullet"/>
      <w:lvlText w:val="•"/>
      <w:lvlJc w:val="left"/>
      <w:pPr>
        <w:ind w:left="4258" w:hanging="358"/>
      </w:pPr>
      <w:rPr>
        <w:rFonts w:hint="default"/>
        <w:lang w:val="en-GB" w:eastAsia="en-GB" w:bidi="en-GB"/>
      </w:rPr>
    </w:lvl>
    <w:lvl w:ilvl="5" w:tplc="82EE7C1A">
      <w:numFmt w:val="bullet"/>
      <w:lvlText w:val="•"/>
      <w:lvlJc w:val="left"/>
      <w:pPr>
        <w:ind w:left="5203" w:hanging="358"/>
      </w:pPr>
      <w:rPr>
        <w:rFonts w:hint="default"/>
        <w:lang w:val="en-GB" w:eastAsia="en-GB" w:bidi="en-GB"/>
      </w:rPr>
    </w:lvl>
    <w:lvl w:ilvl="6" w:tplc="6CE029F8">
      <w:numFmt w:val="bullet"/>
      <w:lvlText w:val="•"/>
      <w:lvlJc w:val="left"/>
      <w:pPr>
        <w:ind w:left="6147" w:hanging="358"/>
      </w:pPr>
      <w:rPr>
        <w:rFonts w:hint="default"/>
        <w:lang w:val="en-GB" w:eastAsia="en-GB" w:bidi="en-GB"/>
      </w:rPr>
    </w:lvl>
    <w:lvl w:ilvl="7" w:tplc="63123C9A">
      <w:numFmt w:val="bullet"/>
      <w:lvlText w:val="•"/>
      <w:lvlJc w:val="left"/>
      <w:pPr>
        <w:ind w:left="7092" w:hanging="358"/>
      </w:pPr>
      <w:rPr>
        <w:rFonts w:hint="default"/>
        <w:lang w:val="en-GB" w:eastAsia="en-GB" w:bidi="en-GB"/>
      </w:rPr>
    </w:lvl>
    <w:lvl w:ilvl="8" w:tplc="7160EE16">
      <w:numFmt w:val="bullet"/>
      <w:lvlText w:val="•"/>
      <w:lvlJc w:val="left"/>
      <w:pPr>
        <w:ind w:left="8037" w:hanging="35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7"/>
    <w:rsid w:val="000500B5"/>
    <w:rsid w:val="000F281E"/>
    <w:rsid w:val="00241892"/>
    <w:rsid w:val="00267716"/>
    <w:rsid w:val="005804C4"/>
    <w:rsid w:val="0063744A"/>
    <w:rsid w:val="006B6127"/>
    <w:rsid w:val="007F6FF7"/>
    <w:rsid w:val="009958AD"/>
    <w:rsid w:val="00E47D7A"/>
    <w:rsid w:val="00E8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EB046"/>
  <w15:docId w15:val="{D074B23C-1D58-4F40-A0D6-DF54D45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8"/>
      <w:szCs w:val="28"/>
    </w:rPr>
  </w:style>
  <w:style w:type="paragraph" w:styleId="Heading2">
    <w:name w:val="heading 2"/>
    <w:basedOn w:val="Normal"/>
    <w:uiPriority w:val="1"/>
    <w:qFormat/>
    <w:pPr>
      <w:ind w:left="470" w:hanging="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sz w:val="24"/>
      <w:szCs w:val="24"/>
    </w:rPr>
  </w:style>
  <w:style w:type="paragraph" w:styleId="ListParagraph">
    <w:name w:val="List Paragraph"/>
    <w:basedOn w:val="Normal"/>
    <w:uiPriority w:val="1"/>
    <w:qFormat/>
    <w:pPr>
      <w:spacing w:before="186"/>
      <w:ind w:left="470"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7716"/>
    <w:rPr>
      <w:rFonts w:ascii="Tahoma" w:hAnsi="Tahoma" w:cs="Tahoma"/>
      <w:sz w:val="16"/>
      <w:szCs w:val="16"/>
    </w:rPr>
  </w:style>
  <w:style w:type="character" w:customStyle="1" w:styleId="BalloonTextChar">
    <w:name w:val="Balloon Text Char"/>
    <w:basedOn w:val="DefaultParagraphFont"/>
    <w:link w:val="BalloonText"/>
    <w:uiPriority w:val="99"/>
    <w:semiHidden/>
    <w:rsid w:val="00267716"/>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267716"/>
    <w:rPr>
      <w:sz w:val="16"/>
      <w:szCs w:val="16"/>
    </w:rPr>
  </w:style>
  <w:style w:type="paragraph" w:styleId="CommentText">
    <w:name w:val="annotation text"/>
    <w:basedOn w:val="Normal"/>
    <w:link w:val="CommentTextChar"/>
    <w:uiPriority w:val="99"/>
    <w:semiHidden/>
    <w:unhideWhenUsed/>
    <w:rsid w:val="00267716"/>
    <w:rPr>
      <w:sz w:val="20"/>
      <w:szCs w:val="20"/>
    </w:rPr>
  </w:style>
  <w:style w:type="character" w:customStyle="1" w:styleId="CommentTextChar">
    <w:name w:val="Comment Text Char"/>
    <w:basedOn w:val="DefaultParagraphFont"/>
    <w:link w:val="CommentText"/>
    <w:uiPriority w:val="99"/>
    <w:semiHidden/>
    <w:rsid w:val="0026771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67716"/>
    <w:rPr>
      <w:b/>
      <w:bCs/>
    </w:rPr>
  </w:style>
  <w:style w:type="character" w:customStyle="1" w:styleId="CommentSubjectChar">
    <w:name w:val="Comment Subject Char"/>
    <w:basedOn w:val="CommentTextChar"/>
    <w:link w:val="CommentSubject"/>
    <w:uiPriority w:val="99"/>
    <w:semiHidden/>
    <w:rsid w:val="00267716"/>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241892"/>
    <w:pPr>
      <w:tabs>
        <w:tab w:val="center" w:pos="4513"/>
        <w:tab w:val="right" w:pos="9026"/>
      </w:tabs>
    </w:pPr>
  </w:style>
  <w:style w:type="character" w:customStyle="1" w:styleId="HeaderChar">
    <w:name w:val="Header Char"/>
    <w:basedOn w:val="DefaultParagraphFont"/>
    <w:link w:val="Header"/>
    <w:uiPriority w:val="99"/>
    <w:rsid w:val="00241892"/>
    <w:rPr>
      <w:rFonts w:ascii="Arial" w:eastAsia="Arial" w:hAnsi="Arial" w:cs="Arial"/>
      <w:lang w:val="en-GB" w:eastAsia="en-GB" w:bidi="en-GB"/>
    </w:rPr>
  </w:style>
  <w:style w:type="paragraph" w:styleId="Footer">
    <w:name w:val="footer"/>
    <w:basedOn w:val="Normal"/>
    <w:link w:val="FooterChar"/>
    <w:uiPriority w:val="99"/>
    <w:unhideWhenUsed/>
    <w:rsid w:val="00241892"/>
    <w:pPr>
      <w:tabs>
        <w:tab w:val="center" w:pos="4513"/>
        <w:tab w:val="right" w:pos="9026"/>
      </w:tabs>
    </w:pPr>
  </w:style>
  <w:style w:type="character" w:customStyle="1" w:styleId="FooterChar">
    <w:name w:val="Footer Char"/>
    <w:basedOn w:val="DefaultParagraphFont"/>
    <w:link w:val="Footer"/>
    <w:uiPriority w:val="99"/>
    <w:rsid w:val="00241892"/>
    <w:rPr>
      <w:rFonts w:ascii="Arial" w:eastAsia="Arial" w:hAnsi="Arial" w:cs="Arial"/>
      <w:lang w:val="en-GB" w:eastAsia="en-GB" w:bidi="en-GB"/>
    </w:rPr>
  </w:style>
  <w:style w:type="character" w:styleId="Hyperlink">
    <w:name w:val="Hyperlink"/>
    <w:basedOn w:val="DefaultParagraphFont"/>
    <w:uiPriority w:val="99"/>
    <w:unhideWhenUsed/>
    <w:rsid w:val="00241892"/>
    <w:rPr>
      <w:color w:val="0000FF" w:themeColor="hyperlink"/>
      <w:u w:val="single"/>
    </w:rPr>
  </w:style>
  <w:style w:type="character" w:styleId="UnresolvedMention">
    <w:name w:val="Unresolved Mention"/>
    <w:basedOn w:val="DefaultParagraphFont"/>
    <w:uiPriority w:val="99"/>
    <w:semiHidden/>
    <w:unhideWhenUsed/>
    <w:rsid w:val="0024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udents.shu.ac.uk/regulations/conduct_discipline/Student%20Anti-Harassment%20Poli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shu.ac.uk/regulations/appeals_and_complaints/Student%20Complaints%20Policy%20and%20Procedure.pdf" TargetMode="External"/><Relationship Id="rId17" Type="http://schemas.openxmlformats.org/officeDocument/2006/relationships/hyperlink" Target="https://www.hallamstudentsunion.com/advice_help/" TargetMode="External"/><Relationship Id="rId2" Type="http://schemas.openxmlformats.org/officeDocument/2006/relationships/styles" Target="styles.xml"/><Relationship Id="rId16" Type="http://schemas.openxmlformats.org/officeDocument/2006/relationships/hyperlink" Target="https://www.studenthealthatshu.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Users/hwbjhr/Downloads/Public%20interest%20disclosure%20policy.pdf" TargetMode="External"/><Relationship Id="rId5" Type="http://schemas.openxmlformats.org/officeDocument/2006/relationships/footnotes" Target="footnotes.xml"/><Relationship Id="rId15" Type="http://schemas.openxmlformats.org/officeDocument/2006/relationships/hyperlink" Target="https://www.shu.ac.uk/wellbein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s.shu.ac.uk/regulations/conduct_discipline/index.html" TargetMode="External"/><Relationship Id="rId14" Type="http://schemas.openxmlformats.org/officeDocument/2006/relationships/hyperlink" Target="https://www.shu.ac.uk/myhallam/help-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 Benson</dc:creator>
  <cp:lastModifiedBy>Judy Redman</cp:lastModifiedBy>
  <cp:revision>3</cp:revision>
  <dcterms:created xsi:type="dcterms:W3CDTF">2020-11-04T10:59:00Z</dcterms:created>
  <dcterms:modified xsi:type="dcterms:W3CDTF">2020-11-18T16:24:00Z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15 for Word</vt:lpwstr>
  </property>
  <property fmtid="{D5CDD505-2E9C-101B-9397-08002B2CF9AE}" pid="4" name="LastSaved">
    <vt:filetime>2020-09-29T00:00:00Z</vt:filetime>
  </property>
  <property fmtid="{D5CDD505-2E9C-101B-9397-08002B2CF9AE}" pid="5" name="_MarkAsFinal">
    <vt:bool>true</vt:bool>
  </property>
</Properties>
</file>