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1D" w:rsidRDefault="00F6271D" w:rsidP="00F6271D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77A0B3D" wp14:editId="200E2576">
            <wp:extent cx="1352550" cy="800922"/>
            <wp:effectExtent l="0" t="0" r="0" b="0"/>
            <wp:docPr id="1" name="Picture 1" descr="https://staff.shu.ac.uk/marketing/brand/Documents/SHU_MASTER_CORP-WEB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ff.shu.ac.uk/marketing/brand/Documents/SHU_MASTER_CORP-WEB-F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41F" w:rsidRPr="00F6271D" w:rsidRDefault="008F241F" w:rsidP="00F6271D">
      <w:pPr>
        <w:ind w:left="360"/>
        <w:rPr>
          <w:b/>
          <w:bCs/>
        </w:rPr>
      </w:pPr>
      <w:r w:rsidRPr="00F6271D">
        <w:rPr>
          <w:b/>
          <w:bCs/>
        </w:rPr>
        <w:t>SOP Human Tissue Disposal at SHU</w:t>
      </w:r>
    </w:p>
    <w:p w:rsidR="008F241F" w:rsidRDefault="008F241F" w:rsidP="008F241F">
      <w:pPr>
        <w:pStyle w:val="Default"/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1. Background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SHU policy and government guidelines are in line with the </w:t>
      </w:r>
      <w:hyperlink r:id="rId10" w:history="1">
        <w:r w:rsidRPr="002C7542">
          <w:rPr>
            <w:rStyle w:val="Hyperlink"/>
            <w:rFonts w:asciiTheme="minorHAnsi" w:hAnsiTheme="minorHAnsi" w:cstheme="minorHAnsi"/>
          </w:rPr>
          <w:t>HTA Code of Practice 5: Disposal</w:t>
        </w:r>
      </w:hyperlink>
      <w:r>
        <w:rPr>
          <w:rFonts w:asciiTheme="minorHAnsi" w:hAnsiTheme="minorHAnsi" w:cstheme="minorHAnsi"/>
        </w:rPr>
        <w:t xml:space="preserve">. Disposal will be done in an ethical and respectful manner by incineration according to SHU guidelines for disposal of human tissue. </w:t>
      </w:r>
    </w:p>
    <w:p w:rsidR="008F241F" w:rsidRDefault="008F241F" w:rsidP="008F241F">
      <w:pPr>
        <w:pStyle w:val="Default"/>
        <w:rPr>
          <w:rFonts w:asciiTheme="minorHAnsi" w:hAnsiTheme="minorHAnsi" w:cstheme="minorHAnsi"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>SOP</w:t>
      </w:r>
      <w:r w:rsidRPr="00A55F71">
        <w:rPr>
          <w:rFonts w:asciiTheme="minorHAnsi" w:hAnsiTheme="minorHAnsi" w:cstheme="minorHAnsi"/>
        </w:rPr>
        <w:t xml:space="preserve"> outlines the procedure for destroying tissue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/ samples from </w:t>
      </w:r>
      <w:r>
        <w:rPr>
          <w:rFonts w:asciiTheme="minorHAnsi" w:hAnsiTheme="minorHAnsi" w:cstheme="minorHAnsi"/>
        </w:rPr>
        <w:t xml:space="preserve">human tissue </w:t>
      </w:r>
      <w:r w:rsidRPr="00A55F71">
        <w:rPr>
          <w:rFonts w:asciiTheme="minorHAnsi" w:hAnsiTheme="minorHAnsi" w:cstheme="minorHAnsi"/>
        </w:rPr>
        <w:t xml:space="preserve">after they are no longer required or consent to retain the samples has been withdrawn.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2. Procedure </w:t>
      </w:r>
    </w:p>
    <w:p w:rsidR="008F241F" w:rsidRPr="00A55F71" w:rsidRDefault="008F241F" w:rsidP="008F241F">
      <w:pPr>
        <w:pStyle w:val="Default"/>
        <w:numPr>
          <w:ilvl w:val="0"/>
          <w:numId w:val="1"/>
        </w:numPr>
        <w:spacing w:after="29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Residual tissue / samples left after research projects have finished </w:t>
      </w:r>
      <w:r>
        <w:rPr>
          <w:rFonts w:asciiTheme="minorHAnsi" w:hAnsiTheme="minorHAnsi" w:cstheme="minorHAnsi"/>
        </w:rPr>
        <w:t>can</w:t>
      </w:r>
      <w:r w:rsidRPr="00A55F71">
        <w:rPr>
          <w:rFonts w:asciiTheme="minorHAnsi" w:hAnsiTheme="minorHAnsi" w:cstheme="minorHAnsi"/>
        </w:rPr>
        <w:t xml:space="preserve"> be sent to the </w:t>
      </w:r>
      <w:r>
        <w:rPr>
          <w:rFonts w:asciiTheme="minorHAnsi" w:hAnsiTheme="minorHAnsi" w:cstheme="minorHAnsi"/>
        </w:rPr>
        <w:t>B</w:t>
      </w:r>
      <w:r w:rsidRPr="00A55F71">
        <w:rPr>
          <w:rFonts w:asciiTheme="minorHAnsi" w:hAnsiTheme="minorHAnsi" w:cstheme="minorHAnsi"/>
        </w:rPr>
        <w:t xml:space="preserve">iorepository if they are deemed still useful and not contaminated in any way. </w:t>
      </w:r>
    </w:p>
    <w:p w:rsidR="008F241F" w:rsidRPr="00A55F71" w:rsidRDefault="008F241F" w:rsidP="001E5C0C">
      <w:pPr>
        <w:pStyle w:val="Default"/>
        <w:numPr>
          <w:ilvl w:val="0"/>
          <w:numId w:val="1"/>
        </w:numPr>
        <w:spacing w:after="29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>If it is agreed that the tissue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>/ sample should be destroyed, they will be disposed of in accordance with the</w:t>
      </w:r>
      <w:r w:rsidR="001E5C0C">
        <w:rPr>
          <w:rFonts w:asciiTheme="minorHAnsi" w:hAnsiTheme="minorHAnsi" w:cstheme="minorHAnsi"/>
        </w:rPr>
        <w:t xml:space="preserve"> </w:t>
      </w:r>
      <w:hyperlink r:id="rId11" w:history="1">
        <w:r w:rsidR="001E5C0C" w:rsidRPr="001E5C0C">
          <w:rPr>
            <w:rStyle w:val="Hyperlink"/>
            <w:rFonts w:asciiTheme="minorHAnsi" w:hAnsiTheme="minorHAnsi" w:cstheme="minorHAnsi"/>
          </w:rPr>
          <w:t>local clinical waste disposal SOP</w:t>
        </w:r>
      </w:hyperlink>
      <w:r w:rsidR="001E5C0C">
        <w:rPr>
          <w:rFonts w:asciiTheme="minorHAnsi" w:hAnsiTheme="minorHAnsi" w:cstheme="minorHAnsi"/>
        </w:rPr>
        <w:t xml:space="preserve">. </w:t>
      </w:r>
    </w:p>
    <w:p w:rsidR="008F241F" w:rsidRPr="00A55F71" w:rsidRDefault="008F241F" w:rsidP="008F241F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all cases the disposal must be logged on the human tissue log [Google Sheets]. To get access to the log please email </w:t>
      </w:r>
      <w:hyperlink r:id="rId12" w:history="1">
        <w:r>
          <w:rPr>
            <w:rStyle w:val="Hyperlink"/>
            <w:rFonts w:asciiTheme="minorHAnsi" w:hAnsiTheme="minorHAnsi" w:cstheme="minorHAnsi"/>
          </w:rPr>
          <w:t>humantissue@shu.ac.uk</w:t>
        </w:r>
      </w:hyperlink>
      <w:r>
        <w:rPr>
          <w:rFonts w:asciiTheme="minorHAnsi" w:hAnsiTheme="minorHAnsi" w:cstheme="minorHAnsi"/>
        </w:rPr>
        <w:t xml:space="preserve">.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I. Unfixed Tissue specimens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These should be fixed in 10% buffered formalin prior to disposal. Once fixed proceed as per </w:t>
      </w:r>
      <w:r>
        <w:rPr>
          <w:rFonts w:asciiTheme="minorHAnsi" w:hAnsiTheme="minorHAnsi" w:cstheme="minorHAnsi"/>
        </w:rPr>
        <w:t>f</w:t>
      </w:r>
      <w:r w:rsidRPr="00A55F71">
        <w:rPr>
          <w:rFonts w:asciiTheme="minorHAnsi" w:hAnsiTheme="minorHAnsi" w:cstheme="minorHAnsi"/>
        </w:rPr>
        <w:t xml:space="preserve">ixed samples.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II. Fixed specimens </w:t>
      </w: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>The fixative should be drained off prior to disposal by pouring down the sink with copious amounts of water</w:t>
      </w:r>
      <w:r w:rsidR="00F6271D">
        <w:rPr>
          <w:rFonts w:asciiTheme="minorHAnsi" w:hAnsiTheme="minorHAnsi" w:cstheme="minorHAnsi"/>
        </w:rPr>
        <w:t>,</w:t>
      </w:r>
      <w:r w:rsidRPr="00A55F71">
        <w:rPr>
          <w:rFonts w:asciiTheme="minorHAnsi" w:hAnsiTheme="minorHAnsi" w:cstheme="minorHAnsi"/>
        </w:rPr>
        <w:t xml:space="preserve"> then the lid returned to the container (if glass containers, then the tissue should be placed in a plastic bag and sealed) and </w:t>
      </w:r>
      <w:r>
        <w:rPr>
          <w:rFonts w:asciiTheme="minorHAnsi" w:hAnsiTheme="minorHAnsi" w:cstheme="minorHAnsi"/>
        </w:rPr>
        <w:t>placed in a y</w:t>
      </w:r>
      <w:r w:rsidRPr="00A55F71">
        <w:rPr>
          <w:rFonts w:asciiTheme="minorHAnsi" w:hAnsiTheme="minorHAnsi" w:cstheme="minorHAnsi"/>
        </w:rPr>
        <w:t xml:space="preserve">ellow </w:t>
      </w:r>
      <w:r>
        <w:rPr>
          <w:rFonts w:asciiTheme="minorHAnsi" w:hAnsiTheme="minorHAnsi" w:cstheme="minorHAnsi"/>
        </w:rPr>
        <w:t>incineration bin</w:t>
      </w:r>
      <w:r w:rsidRPr="00A55F7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Glass microscope slides with fixed human tissue/cells should also be placed in yellow incineration bins. </w:t>
      </w:r>
      <w:r w:rsidRPr="00A55F7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yellow bin</w:t>
      </w:r>
      <w:r w:rsidRPr="00A55F71">
        <w:rPr>
          <w:rFonts w:asciiTheme="minorHAnsi" w:hAnsiTheme="minorHAnsi" w:cstheme="minorHAnsi"/>
        </w:rPr>
        <w:t xml:space="preserve"> should only be used for </w:t>
      </w:r>
      <w:r>
        <w:rPr>
          <w:rFonts w:asciiTheme="minorHAnsi" w:hAnsiTheme="minorHAnsi" w:cstheme="minorHAnsi"/>
        </w:rPr>
        <w:t xml:space="preserve">human tissue. </w:t>
      </w:r>
      <w:r w:rsidRPr="00A55F71">
        <w:rPr>
          <w:rFonts w:asciiTheme="minorHAnsi" w:hAnsiTheme="minorHAnsi" w:cstheme="minorHAnsi"/>
        </w:rPr>
        <w:t xml:space="preserve">Do not fill above the designated fill line. </w:t>
      </w:r>
    </w:p>
    <w:p w:rsidR="008F241F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  <w:r w:rsidRPr="00A55F71">
        <w:rPr>
          <w:rFonts w:asciiTheme="minorHAnsi" w:hAnsiTheme="minorHAnsi" w:cstheme="minorHAnsi"/>
          <w:b/>
          <w:bCs/>
        </w:rPr>
        <w:t xml:space="preserve">. Contaminated sharps and tissue sections on glass slides </w:t>
      </w:r>
    </w:p>
    <w:p w:rsidR="008F241F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These should be placed in a </w:t>
      </w:r>
      <w:r>
        <w:rPr>
          <w:rFonts w:asciiTheme="minorHAnsi" w:hAnsiTheme="minorHAnsi" w:cstheme="minorHAnsi"/>
        </w:rPr>
        <w:t xml:space="preserve">yellow </w:t>
      </w:r>
      <w:r w:rsidRPr="00A55F71">
        <w:rPr>
          <w:rFonts w:asciiTheme="minorHAnsi" w:hAnsiTheme="minorHAnsi" w:cstheme="minorHAnsi"/>
        </w:rPr>
        <w:t xml:space="preserve">sharps </w:t>
      </w:r>
      <w:r>
        <w:rPr>
          <w:rFonts w:asciiTheme="minorHAnsi" w:hAnsiTheme="minorHAnsi" w:cstheme="minorHAnsi"/>
        </w:rPr>
        <w:t xml:space="preserve">incineration </w:t>
      </w:r>
      <w:r w:rsidRPr="00A55F71">
        <w:rPr>
          <w:rFonts w:asciiTheme="minorHAnsi" w:hAnsiTheme="minorHAnsi" w:cstheme="minorHAnsi"/>
        </w:rPr>
        <w:t xml:space="preserve">bin. The bin should only be used for </w:t>
      </w:r>
      <w:r>
        <w:rPr>
          <w:rFonts w:asciiTheme="minorHAnsi" w:hAnsiTheme="minorHAnsi" w:cstheme="minorHAnsi"/>
        </w:rPr>
        <w:t>human</w:t>
      </w:r>
      <w:r w:rsidRPr="00A55F71">
        <w:rPr>
          <w:rFonts w:asciiTheme="minorHAnsi" w:hAnsiTheme="minorHAnsi" w:cstheme="minorHAnsi"/>
        </w:rPr>
        <w:t xml:space="preserve"> tissue</w:t>
      </w:r>
      <w:r>
        <w:rPr>
          <w:rFonts w:asciiTheme="minorHAnsi" w:hAnsiTheme="minorHAnsi" w:cstheme="minorHAnsi"/>
        </w:rPr>
        <w:t xml:space="preserve">. </w:t>
      </w:r>
      <w:r w:rsidRPr="00A55F71">
        <w:rPr>
          <w:rFonts w:asciiTheme="minorHAnsi" w:hAnsiTheme="minorHAnsi" w:cstheme="minorHAnsi"/>
        </w:rPr>
        <w:t xml:space="preserve"> Do not fill above the designated fill line </w:t>
      </w:r>
    </w:p>
    <w:p w:rsidR="008F241F" w:rsidRDefault="008F241F" w:rsidP="008F241F">
      <w:pPr>
        <w:pStyle w:val="Default"/>
        <w:rPr>
          <w:rFonts w:asciiTheme="minorHAnsi" w:hAnsiTheme="minorHAnsi" w:cstheme="minorHAnsi"/>
        </w:rPr>
      </w:pPr>
    </w:p>
    <w:p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</w:t>
      </w:r>
      <w:r w:rsidRPr="00A55F71">
        <w:rPr>
          <w:rFonts w:asciiTheme="minorHAnsi" w:hAnsiTheme="minorHAnsi" w:cstheme="minorHAnsi"/>
          <w:b/>
          <w:bCs/>
        </w:rPr>
        <w:t xml:space="preserve">V. Blood, Serum &amp; Urine samples </w:t>
      </w:r>
    </w:p>
    <w:p w:rsidR="006E4474" w:rsidRDefault="008F241F" w:rsidP="008F241F">
      <w:r w:rsidRPr="00A55F7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sample </w:t>
      </w:r>
      <w:r w:rsidRPr="00A55F71">
        <w:rPr>
          <w:rFonts w:asciiTheme="minorHAnsi" w:hAnsiTheme="minorHAnsi" w:cstheme="minorHAnsi"/>
        </w:rPr>
        <w:t xml:space="preserve">containers should be resealed where appropriate and then placed in a </w:t>
      </w:r>
      <w:r>
        <w:rPr>
          <w:rFonts w:asciiTheme="minorHAnsi" w:hAnsiTheme="minorHAnsi" w:cstheme="minorHAnsi"/>
        </w:rPr>
        <w:t>y</w:t>
      </w:r>
      <w:r w:rsidRPr="00A55F71">
        <w:rPr>
          <w:rFonts w:asciiTheme="minorHAnsi" w:hAnsiTheme="minorHAnsi" w:cstheme="minorHAnsi"/>
        </w:rPr>
        <w:t xml:space="preserve">ellow </w:t>
      </w:r>
      <w:r>
        <w:rPr>
          <w:rFonts w:asciiTheme="minorHAnsi" w:hAnsiTheme="minorHAnsi" w:cstheme="minorHAnsi"/>
        </w:rPr>
        <w:t>incineration bin or y</w:t>
      </w:r>
      <w:r w:rsidRPr="00A55F71">
        <w:rPr>
          <w:rFonts w:asciiTheme="minorHAnsi" w:hAnsiTheme="minorHAnsi" w:cstheme="minorHAnsi"/>
        </w:rPr>
        <w:t>ellow sharps bin. The bin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should only </w:t>
      </w:r>
      <w:r>
        <w:rPr>
          <w:rFonts w:asciiTheme="minorHAnsi" w:hAnsiTheme="minorHAnsi" w:cstheme="minorHAnsi"/>
        </w:rPr>
        <w:t>be</w:t>
      </w:r>
      <w:r w:rsidRPr="00A55F71">
        <w:rPr>
          <w:rFonts w:asciiTheme="minorHAnsi" w:hAnsiTheme="minorHAnsi" w:cstheme="minorHAnsi"/>
        </w:rPr>
        <w:t xml:space="preserve"> used for </w:t>
      </w:r>
      <w:r>
        <w:rPr>
          <w:rFonts w:asciiTheme="minorHAnsi" w:hAnsiTheme="minorHAnsi" w:cstheme="minorHAnsi"/>
        </w:rPr>
        <w:t xml:space="preserve">human </w:t>
      </w:r>
      <w:r w:rsidRPr="00A55F71">
        <w:rPr>
          <w:rFonts w:asciiTheme="minorHAnsi" w:hAnsiTheme="minorHAnsi" w:cstheme="minorHAnsi"/>
        </w:rPr>
        <w:t>tissue</w:t>
      </w:r>
      <w:r>
        <w:rPr>
          <w:rFonts w:asciiTheme="minorHAnsi" w:hAnsiTheme="minorHAnsi" w:cstheme="minorHAnsi"/>
        </w:rPr>
        <w:t>.</w:t>
      </w:r>
    </w:p>
    <w:sectPr w:rsidR="006E447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58" w:rsidRDefault="00743C58" w:rsidP="00743C58">
      <w:pPr>
        <w:spacing w:after="0" w:line="240" w:lineRule="auto"/>
      </w:pPr>
      <w:r>
        <w:separator/>
      </w:r>
    </w:p>
  </w:endnote>
  <w:endnote w:type="continuationSeparator" w:id="0">
    <w:p w:rsidR="00743C58" w:rsidRDefault="00743C58" w:rsidP="0074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58" w:rsidRDefault="00743C58" w:rsidP="00743C58">
      <w:pPr>
        <w:spacing w:after="0" w:line="240" w:lineRule="auto"/>
      </w:pPr>
      <w:r>
        <w:separator/>
      </w:r>
    </w:p>
  </w:footnote>
  <w:footnote w:type="continuationSeparator" w:id="0">
    <w:p w:rsidR="00743C58" w:rsidRDefault="00743C58" w:rsidP="0074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58" w:rsidRDefault="00743C58">
    <w:pPr>
      <w:pStyle w:val="Header"/>
    </w:pPr>
    <w:r>
      <w:t>SOP Human Tissue Disposal at SHU</w:t>
    </w:r>
    <w:r>
      <w:tab/>
    </w:r>
    <w:r>
      <w:tab/>
      <w:t>V1 Sept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763C"/>
    <w:multiLevelType w:val="hybridMultilevel"/>
    <w:tmpl w:val="576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1078"/>
    <w:multiLevelType w:val="hybridMultilevel"/>
    <w:tmpl w:val="4C0A8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1F"/>
    <w:rsid w:val="00045D9A"/>
    <w:rsid w:val="00054B79"/>
    <w:rsid w:val="0005635C"/>
    <w:rsid w:val="00065DAB"/>
    <w:rsid w:val="000870B9"/>
    <w:rsid w:val="000A4DC4"/>
    <w:rsid w:val="000D7658"/>
    <w:rsid w:val="00125401"/>
    <w:rsid w:val="00135D56"/>
    <w:rsid w:val="001502F5"/>
    <w:rsid w:val="00166A78"/>
    <w:rsid w:val="00172D57"/>
    <w:rsid w:val="001D0E64"/>
    <w:rsid w:val="001D70F1"/>
    <w:rsid w:val="001E4878"/>
    <w:rsid w:val="001E5C0C"/>
    <w:rsid w:val="00206533"/>
    <w:rsid w:val="00252985"/>
    <w:rsid w:val="0025584B"/>
    <w:rsid w:val="002C7542"/>
    <w:rsid w:val="002F2F68"/>
    <w:rsid w:val="003121F0"/>
    <w:rsid w:val="00335584"/>
    <w:rsid w:val="00361E7A"/>
    <w:rsid w:val="00382C39"/>
    <w:rsid w:val="003860C1"/>
    <w:rsid w:val="00392807"/>
    <w:rsid w:val="00394F46"/>
    <w:rsid w:val="003B3D03"/>
    <w:rsid w:val="003D603C"/>
    <w:rsid w:val="00406DDF"/>
    <w:rsid w:val="00410CC6"/>
    <w:rsid w:val="0043322C"/>
    <w:rsid w:val="0045314A"/>
    <w:rsid w:val="00454986"/>
    <w:rsid w:val="0046059A"/>
    <w:rsid w:val="004679C7"/>
    <w:rsid w:val="004D1C95"/>
    <w:rsid w:val="004E049E"/>
    <w:rsid w:val="00521A9C"/>
    <w:rsid w:val="00563C01"/>
    <w:rsid w:val="00577BB8"/>
    <w:rsid w:val="005A31BB"/>
    <w:rsid w:val="005C41B9"/>
    <w:rsid w:val="00620DD2"/>
    <w:rsid w:val="00637123"/>
    <w:rsid w:val="00662FDE"/>
    <w:rsid w:val="00665128"/>
    <w:rsid w:val="00692930"/>
    <w:rsid w:val="006A01A9"/>
    <w:rsid w:val="006C18F2"/>
    <w:rsid w:val="006D3090"/>
    <w:rsid w:val="006E4474"/>
    <w:rsid w:val="006E6513"/>
    <w:rsid w:val="00705789"/>
    <w:rsid w:val="00721A43"/>
    <w:rsid w:val="00741DD8"/>
    <w:rsid w:val="00743C58"/>
    <w:rsid w:val="00744C86"/>
    <w:rsid w:val="00777460"/>
    <w:rsid w:val="007B2D28"/>
    <w:rsid w:val="007D0405"/>
    <w:rsid w:val="00810E88"/>
    <w:rsid w:val="00823D08"/>
    <w:rsid w:val="00861506"/>
    <w:rsid w:val="0086609C"/>
    <w:rsid w:val="008C2EAD"/>
    <w:rsid w:val="008F241F"/>
    <w:rsid w:val="00905CE8"/>
    <w:rsid w:val="00955462"/>
    <w:rsid w:val="009B57F2"/>
    <w:rsid w:val="009D364D"/>
    <w:rsid w:val="009F522E"/>
    <w:rsid w:val="00A01E09"/>
    <w:rsid w:val="00A35825"/>
    <w:rsid w:val="00A5461F"/>
    <w:rsid w:val="00A81A5F"/>
    <w:rsid w:val="00A8393E"/>
    <w:rsid w:val="00AA4C5D"/>
    <w:rsid w:val="00AB2C6A"/>
    <w:rsid w:val="00AD09A4"/>
    <w:rsid w:val="00AE746E"/>
    <w:rsid w:val="00B36BD1"/>
    <w:rsid w:val="00B47AD3"/>
    <w:rsid w:val="00B67E16"/>
    <w:rsid w:val="00B73E2A"/>
    <w:rsid w:val="00BC37C6"/>
    <w:rsid w:val="00BE4148"/>
    <w:rsid w:val="00C123F7"/>
    <w:rsid w:val="00C474A4"/>
    <w:rsid w:val="00CB31A9"/>
    <w:rsid w:val="00CC276E"/>
    <w:rsid w:val="00CE4CD9"/>
    <w:rsid w:val="00D16395"/>
    <w:rsid w:val="00D17099"/>
    <w:rsid w:val="00D17788"/>
    <w:rsid w:val="00D26E96"/>
    <w:rsid w:val="00D47023"/>
    <w:rsid w:val="00D87898"/>
    <w:rsid w:val="00D92968"/>
    <w:rsid w:val="00D964AE"/>
    <w:rsid w:val="00DB0358"/>
    <w:rsid w:val="00DF3919"/>
    <w:rsid w:val="00E2382D"/>
    <w:rsid w:val="00E24D2E"/>
    <w:rsid w:val="00E27E5C"/>
    <w:rsid w:val="00E30B46"/>
    <w:rsid w:val="00E50B99"/>
    <w:rsid w:val="00E5686E"/>
    <w:rsid w:val="00E63B21"/>
    <w:rsid w:val="00E71345"/>
    <w:rsid w:val="00E71926"/>
    <w:rsid w:val="00E71A58"/>
    <w:rsid w:val="00E825F1"/>
    <w:rsid w:val="00E96C8B"/>
    <w:rsid w:val="00EA06D8"/>
    <w:rsid w:val="00EA0EDD"/>
    <w:rsid w:val="00EA5F8D"/>
    <w:rsid w:val="00EC0A76"/>
    <w:rsid w:val="00EF1674"/>
    <w:rsid w:val="00F32692"/>
    <w:rsid w:val="00F6271D"/>
    <w:rsid w:val="00F83556"/>
    <w:rsid w:val="00F90215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4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41F"/>
    <w:pPr>
      <w:ind w:left="720"/>
      <w:contextualSpacing/>
    </w:pPr>
  </w:style>
  <w:style w:type="paragraph" w:customStyle="1" w:styleId="Default">
    <w:name w:val="Default"/>
    <w:rsid w:val="008F24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75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58"/>
  </w:style>
  <w:style w:type="paragraph" w:styleId="Footer">
    <w:name w:val="footer"/>
    <w:basedOn w:val="Normal"/>
    <w:link w:val="Foot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4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41F"/>
    <w:pPr>
      <w:ind w:left="720"/>
      <w:contextualSpacing/>
    </w:pPr>
  </w:style>
  <w:style w:type="paragraph" w:customStyle="1" w:styleId="Default">
    <w:name w:val="Default"/>
    <w:rsid w:val="008F24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75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58"/>
  </w:style>
  <w:style w:type="paragraph" w:styleId="Footer">
    <w:name w:val="footer"/>
    <w:basedOn w:val="Normal"/>
    <w:link w:val="Foot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%20humantissue@shu.ac.uk?subject=Please%20can%20I%20have%20access%20to%20the%20Human%20Tissue%20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u.ac.uk/_assets/pdf/research/ethics/017-sop-01-disposal-of-clinical-waste-bins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hu.ac.uk/_assets/pdf/research/ethics/code_of_practice_5_-_disposal_of_human_tissu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89B3-B45E-4A4D-90A3-028012CC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Glockle</dc:creator>
  <cp:lastModifiedBy>Lucy Walsh</cp:lastModifiedBy>
  <cp:revision>2</cp:revision>
  <dcterms:created xsi:type="dcterms:W3CDTF">2016-02-05T15:12:00Z</dcterms:created>
  <dcterms:modified xsi:type="dcterms:W3CDTF">2016-02-05T15:12:00Z</dcterms:modified>
</cp:coreProperties>
</file>